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33" w:rsidRDefault="00534433">
      <w:pPr>
        <w:rPr>
          <w:rFonts w:ascii="Georgia" w:hAnsi="Georgia"/>
          <w:sz w:val="40"/>
          <w:szCs w:val="40"/>
        </w:rPr>
      </w:pPr>
      <w:r w:rsidRPr="00534433">
        <w:rPr>
          <w:rFonts w:ascii="Georgia" w:hAnsi="Georgia"/>
          <w:sz w:val="40"/>
          <w:szCs w:val="40"/>
        </w:rPr>
        <w:t>Área Económico financiera</w:t>
      </w:r>
    </w:p>
    <w:p w:rsidR="00534433" w:rsidRPr="002C68E9" w:rsidRDefault="00534433" w:rsidP="002C68E9">
      <w:pPr>
        <w:pStyle w:val="Prrafodelista"/>
        <w:numPr>
          <w:ilvl w:val="0"/>
          <w:numId w:val="1"/>
        </w:numPr>
        <w:spacing w:line="240" w:lineRule="auto"/>
        <w:ind w:left="0" w:hanging="357"/>
        <w:contextualSpacing w:val="0"/>
        <w:rPr>
          <w:rFonts w:ascii="Verdana" w:hAnsi="Verdana"/>
          <w:sz w:val="20"/>
          <w:szCs w:val="20"/>
        </w:rPr>
      </w:pPr>
      <w:r w:rsidRPr="002C68E9">
        <w:rPr>
          <w:rFonts w:ascii="Verdana" w:hAnsi="Verdana"/>
          <w:sz w:val="20"/>
          <w:szCs w:val="20"/>
        </w:rPr>
        <w:t>Cuentas 2018 liquidadas.</w:t>
      </w:r>
    </w:p>
    <w:p w:rsidR="00534433" w:rsidRDefault="00534433" w:rsidP="002C68E9">
      <w:pPr>
        <w:pStyle w:val="Prrafodelista"/>
        <w:numPr>
          <w:ilvl w:val="0"/>
          <w:numId w:val="1"/>
        </w:numPr>
        <w:spacing w:before="240" w:line="240" w:lineRule="auto"/>
        <w:ind w:left="0" w:hanging="357"/>
        <w:contextualSpacing w:val="0"/>
        <w:rPr>
          <w:rFonts w:ascii="Verdana" w:hAnsi="Verdana"/>
          <w:sz w:val="20"/>
          <w:szCs w:val="20"/>
        </w:rPr>
      </w:pPr>
      <w:r w:rsidRPr="002C68E9">
        <w:rPr>
          <w:rFonts w:ascii="Verdana" w:hAnsi="Verdana"/>
          <w:sz w:val="20"/>
          <w:szCs w:val="20"/>
        </w:rPr>
        <w:t xml:space="preserve">En materia de Ingresos: hay dos partidas que han ido significativamente al alza; la 60900 (Veta de otros terrenos) que va a </w:t>
      </w:r>
      <w:r w:rsidRPr="001E42E2">
        <w:rPr>
          <w:rFonts w:ascii="Verdana" w:hAnsi="Verdana"/>
          <w:b/>
          <w:sz w:val="20"/>
          <w:szCs w:val="20"/>
        </w:rPr>
        <w:t>incrementarse en torno al 34% ap</w:t>
      </w:r>
      <w:r w:rsidR="002C68E9" w:rsidRPr="001E42E2">
        <w:rPr>
          <w:rFonts w:ascii="Verdana" w:hAnsi="Verdana"/>
          <w:b/>
          <w:sz w:val="20"/>
          <w:szCs w:val="20"/>
        </w:rPr>
        <w:t>roximadamente en un 1.000.000 €</w:t>
      </w:r>
      <w:r w:rsidR="002C68E9">
        <w:rPr>
          <w:rFonts w:ascii="Verdana" w:hAnsi="Verdana"/>
          <w:sz w:val="20"/>
          <w:szCs w:val="20"/>
        </w:rPr>
        <w:t xml:space="preserve">, a punto de adjudicarse la última de las de VPO en el Sector Queiles </w:t>
      </w:r>
      <w:r w:rsidRPr="002C68E9">
        <w:rPr>
          <w:rFonts w:ascii="Verdana" w:hAnsi="Verdana"/>
          <w:sz w:val="20"/>
          <w:szCs w:val="20"/>
        </w:rPr>
        <w:t xml:space="preserve">y la 55910 Parques eólicos y </w:t>
      </w:r>
      <w:r w:rsidRPr="001E42E2">
        <w:rPr>
          <w:rFonts w:ascii="Verdana" w:hAnsi="Verdana"/>
          <w:b/>
          <w:sz w:val="20"/>
          <w:szCs w:val="20"/>
        </w:rPr>
        <w:t>solares en unos 1</w:t>
      </w:r>
      <w:r w:rsidR="00C7518E">
        <w:rPr>
          <w:rFonts w:ascii="Verdana" w:hAnsi="Verdana"/>
          <w:b/>
          <w:sz w:val="20"/>
          <w:szCs w:val="20"/>
        </w:rPr>
        <w:t>87</w:t>
      </w:r>
      <w:r w:rsidRPr="001E42E2">
        <w:rPr>
          <w:rFonts w:ascii="Verdana" w:hAnsi="Verdana"/>
          <w:b/>
          <w:sz w:val="20"/>
          <w:szCs w:val="20"/>
        </w:rPr>
        <w:t>.000 € anuales</w:t>
      </w:r>
      <w:r w:rsidRPr="002C68E9">
        <w:rPr>
          <w:rFonts w:ascii="Verdana" w:hAnsi="Verdana"/>
          <w:sz w:val="20"/>
          <w:szCs w:val="20"/>
        </w:rPr>
        <w:t>.</w:t>
      </w:r>
      <w:r w:rsidR="002C68E9">
        <w:rPr>
          <w:rFonts w:ascii="Verdana" w:hAnsi="Verdana"/>
          <w:sz w:val="20"/>
          <w:szCs w:val="20"/>
        </w:rPr>
        <w:t xml:space="preserve"> </w:t>
      </w:r>
    </w:p>
    <w:p w:rsidR="001E42E2" w:rsidRPr="002C68E9" w:rsidRDefault="001E42E2" w:rsidP="001E42E2">
      <w:pPr>
        <w:pStyle w:val="Prrafodelista"/>
        <w:numPr>
          <w:ilvl w:val="0"/>
          <w:numId w:val="1"/>
        </w:numPr>
        <w:spacing w:after="240" w:line="240" w:lineRule="auto"/>
        <w:ind w:left="0" w:hanging="357"/>
        <w:contextualSpacing w:val="0"/>
        <w:rPr>
          <w:rFonts w:ascii="Verdana" w:hAnsi="Verdana"/>
          <w:sz w:val="20"/>
          <w:szCs w:val="20"/>
        </w:rPr>
      </w:pPr>
      <w:r w:rsidRPr="002C68E9">
        <w:rPr>
          <w:rFonts w:ascii="Verdana" w:hAnsi="Verdana"/>
          <w:sz w:val="20"/>
          <w:szCs w:val="20"/>
        </w:rPr>
        <w:t xml:space="preserve">Catastro: de cara al último trimestre cerrar con Gobierno de Navarra acuerdo para que lo lleven (ahorro del </w:t>
      </w:r>
      <w:r w:rsidR="00A703F3" w:rsidRPr="002C68E9">
        <w:rPr>
          <w:rFonts w:ascii="Verdana" w:hAnsi="Verdana"/>
          <w:sz w:val="20"/>
          <w:szCs w:val="20"/>
        </w:rPr>
        <w:t>IVA</w:t>
      </w:r>
      <w:r w:rsidRPr="002C68E9">
        <w:rPr>
          <w:rFonts w:ascii="Verdana" w:hAnsi="Verdana"/>
          <w:sz w:val="20"/>
          <w:szCs w:val="20"/>
        </w:rPr>
        <w:t>).</w:t>
      </w:r>
    </w:p>
    <w:p w:rsidR="001E42E2" w:rsidRPr="002C68E9" w:rsidRDefault="001E42E2" w:rsidP="001E42E2">
      <w:pPr>
        <w:pStyle w:val="Prrafodelista"/>
        <w:numPr>
          <w:ilvl w:val="0"/>
          <w:numId w:val="1"/>
        </w:numPr>
        <w:spacing w:after="240" w:line="240" w:lineRule="auto"/>
        <w:ind w:left="0" w:hanging="357"/>
        <w:contextualSpacing w:val="0"/>
        <w:rPr>
          <w:rFonts w:ascii="Verdana" w:hAnsi="Verdana"/>
          <w:sz w:val="20"/>
          <w:szCs w:val="20"/>
        </w:rPr>
      </w:pPr>
      <w:r w:rsidRPr="002C68E9">
        <w:rPr>
          <w:rFonts w:ascii="Verdana" w:hAnsi="Verdana"/>
          <w:sz w:val="20"/>
          <w:szCs w:val="20"/>
        </w:rPr>
        <w:t xml:space="preserve">Plan de inspección tributaria: </w:t>
      </w:r>
      <w:r>
        <w:rPr>
          <w:rFonts w:ascii="Verdana" w:hAnsi="Verdana"/>
          <w:sz w:val="20"/>
          <w:szCs w:val="20"/>
        </w:rPr>
        <w:t>acompasado con el</w:t>
      </w:r>
      <w:r w:rsidRPr="002C68E9">
        <w:rPr>
          <w:rFonts w:ascii="Verdana" w:hAnsi="Verdana"/>
          <w:sz w:val="20"/>
          <w:szCs w:val="20"/>
        </w:rPr>
        <w:t xml:space="preserve"> apartado anterior</w:t>
      </w:r>
      <w:r>
        <w:rPr>
          <w:rFonts w:ascii="Verdana" w:hAnsi="Verdana"/>
          <w:sz w:val="20"/>
          <w:szCs w:val="20"/>
        </w:rPr>
        <w:t>.</w:t>
      </w:r>
    </w:p>
    <w:p w:rsidR="001E42E2" w:rsidRPr="001E42E2" w:rsidRDefault="001E42E2" w:rsidP="001E42E2">
      <w:pPr>
        <w:pStyle w:val="Prrafodelista"/>
        <w:numPr>
          <w:ilvl w:val="0"/>
          <w:numId w:val="1"/>
        </w:numPr>
        <w:spacing w:after="240" w:line="240" w:lineRule="auto"/>
        <w:ind w:left="0" w:hanging="357"/>
        <w:contextualSpacing w:val="0"/>
        <w:rPr>
          <w:rFonts w:ascii="Verdana" w:hAnsi="Verdana"/>
          <w:sz w:val="20"/>
          <w:szCs w:val="20"/>
        </w:rPr>
      </w:pPr>
      <w:r w:rsidRPr="002C68E9">
        <w:rPr>
          <w:rFonts w:ascii="Verdana" w:hAnsi="Verdana"/>
          <w:sz w:val="20"/>
          <w:szCs w:val="20"/>
        </w:rPr>
        <w:t>Parking de la Plaza de la Constitución</w:t>
      </w:r>
      <w:r>
        <w:rPr>
          <w:rFonts w:ascii="Verdana" w:hAnsi="Verdana"/>
          <w:sz w:val="20"/>
          <w:szCs w:val="20"/>
        </w:rPr>
        <w:t>: en intervención listo para licitar.</w:t>
      </w:r>
    </w:p>
    <w:p w:rsidR="001E42E2" w:rsidRPr="001E42E2" w:rsidRDefault="001E42E2" w:rsidP="001E42E2">
      <w:pPr>
        <w:pStyle w:val="Prrafodelista"/>
        <w:numPr>
          <w:ilvl w:val="0"/>
          <w:numId w:val="1"/>
        </w:numPr>
        <w:spacing w:after="240" w:line="240" w:lineRule="auto"/>
        <w:ind w:left="0" w:hanging="357"/>
        <w:contextualSpacing w:val="0"/>
        <w:rPr>
          <w:rFonts w:ascii="Verdana" w:hAnsi="Verdana"/>
          <w:sz w:val="20"/>
          <w:szCs w:val="20"/>
        </w:rPr>
      </w:pPr>
      <w:r>
        <w:rPr>
          <w:rFonts w:ascii="Verdana" w:hAnsi="Verdana"/>
          <w:sz w:val="20"/>
          <w:szCs w:val="20"/>
        </w:rPr>
        <w:t>Terrenos Grupo AN: Seguimiento para ejecución del convenio realizado para desocupación parcela de Cooperativa de Labradores.</w:t>
      </w:r>
    </w:p>
    <w:p w:rsidR="00534433" w:rsidRPr="002C68E9" w:rsidRDefault="00534433" w:rsidP="002C68E9">
      <w:pPr>
        <w:pStyle w:val="Prrafodelista"/>
        <w:numPr>
          <w:ilvl w:val="0"/>
          <w:numId w:val="1"/>
        </w:numPr>
        <w:spacing w:before="240" w:line="240" w:lineRule="auto"/>
        <w:ind w:left="0" w:hanging="357"/>
        <w:contextualSpacing w:val="0"/>
        <w:rPr>
          <w:rFonts w:ascii="Verdana" w:hAnsi="Verdana"/>
          <w:sz w:val="20"/>
          <w:szCs w:val="20"/>
        </w:rPr>
      </w:pPr>
      <w:r w:rsidRPr="002C68E9">
        <w:rPr>
          <w:rFonts w:ascii="Verdana" w:hAnsi="Verdana"/>
          <w:sz w:val="20"/>
          <w:szCs w:val="20"/>
        </w:rPr>
        <w:t xml:space="preserve">CAT: Pendiente de aprobar </w:t>
      </w:r>
      <w:r w:rsidR="001E42E2">
        <w:rPr>
          <w:rFonts w:ascii="Verdana" w:hAnsi="Verdana"/>
          <w:sz w:val="20"/>
          <w:szCs w:val="20"/>
        </w:rPr>
        <w:t xml:space="preserve">plan de pagos de la </w:t>
      </w:r>
      <w:r w:rsidRPr="002C68E9">
        <w:rPr>
          <w:rFonts w:ascii="Verdana" w:hAnsi="Verdana"/>
          <w:sz w:val="20"/>
          <w:szCs w:val="20"/>
        </w:rPr>
        <w:t>deuda con Entidad de Conservación (</w:t>
      </w:r>
      <w:r w:rsidR="007A48EE" w:rsidRPr="007A48EE">
        <w:rPr>
          <w:rFonts w:ascii="Verdana" w:hAnsi="Verdana"/>
          <w:sz w:val="20"/>
          <w:szCs w:val="20"/>
        </w:rPr>
        <w:t>193.296,58</w:t>
      </w:r>
      <w:r w:rsidR="007A48EE">
        <w:rPr>
          <w:rFonts w:ascii="Verdana" w:hAnsi="Verdana"/>
          <w:sz w:val="20"/>
          <w:szCs w:val="20"/>
        </w:rPr>
        <w:t xml:space="preserve"> </w:t>
      </w:r>
      <w:r w:rsidRPr="002C68E9">
        <w:rPr>
          <w:rFonts w:ascii="Verdana" w:hAnsi="Verdana"/>
          <w:sz w:val="20"/>
          <w:szCs w:val="20"/>
        </w:rPr>
        <w:t>€ en uno o varios ejercicios).</w:t>
      </w:r>
    </w:p>
    <w:p w:rsidR="00534433" w:rsidRPr="002C68E9" w:rsidRDefault="00534433" w:rsidP="002C68E9">
      <w:pPr>
        <w:pStyle w:val="Prrafodelista"/>
        <w:numPr>
          <w:ilvl w:val="0"/>
          <w:numId w:val="1"/>
        </w:numPr>
        <w:spacing w:after="240" w:line="240" w:lineRule="auto"/>
        <w:ind w:left="0" w:hanging="357"/>
        <w:contextualSpacing w:val="0"/>
        <w:rPr>
          <w:rFonts w:ascii="Verdana" w:hAnsi="Verdana"/>
          <w:sz w:val="20"/>
          <w:szCs w:val="20"/>
        </w:rPr>
      </w:pPr>
      <w:r w:rsidRPr="002C68E9">
        <w:rPr>
          <w:rFonts w:ascii="Verdana" w:hAnsi="Verdana"/>
          <w:sz w:val="20"/>
          <w:szCs w:val="20"/>
        </w:rPr>
        <w:t>Subvención Catedral pendiente de avanzar por su parte contrapartidas en hipotético convenio.</w:t>
      </w:r>
    </w:p>
    <w:p w:rsidR="002C68E9" w:rsidRDefault="002C68E9" w:rsidP="002C68E9">
      <w:pPr>
        <w:spacing w:after="240" w:line="240" w:lineRule="auto"/>
        <w:rPr>
          <w:rFonts w:ascii="Verdana" w:hAnsi="Verdana"/>
          <w:sz w:val="20"/>
          <w:szCs w:val="20"/>
        </w:rPr>
      </w:pPr>
    </w:p>
    <w:p w:rsidR="001E42E2" w:rsidRDefault="001E42E2" w:rsidP="002C68E9">
      <w:pPr>
        <w:rPr>
          <w:rFonts w:ascii="Georgia" w:hAnsi="Georgia"/>
          <w:sz w:val="40"/>
          <w:szCs w:val="40"/>
        </w:rPr>
      </w:pPr>
      <w:r>
        <w:rPr>
          <w:rFonts w:ascii="Georgia" w:hAnsi="Georgia"/>
          <w:sz w:val="40"/>
          <w:szCs w:val="40"/>
        </w:rPr>
        <w:t>Inversiones (</w:t>
      </w:r>
      <w:r w:rsidR="00800F15">
        <w:rPr>
          <w:rFonts w:ascii="Georgia" w:hAnsi="Georgia"/>
          <w:sz w:val="40"/>
          <w:szCs w:val="40"/>
        </w:rPr>
        <w:t>+ de 10 millones/ financ. 6,5 millones).</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Cerro Santa Bárbara: pendiente liquidación definitiva, paneles informativos y jardinería.</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Parque del Queiles: ya iniciada y fecha de finalización </w:t>
      </w:r>
      <w:r w:rsidRPr="00800F15">
        <w:rPr>
          <w:rFonts w:ascii="Verdana" w:hAnsi="Verdana"/>
          <w:sz w:val="20"/>
          <w:szCs w:val="20"/>
        </w:rPr>
        <w:t xml:space="preserve">prevista </w:t>
      </w:r>
      <w:r w:rsidR="00800F15">
        <w:rPr>
          <w:rFonts w:ascii="Verdana" w:hAnsi="Verdana"/>
          <w:sz w:val="20"/>
          <w:szCs w:val="20"/>
        </w:rPr>
        <w:t>mediados de julio.</w:t>
      </w:r>
      <w:r>
        <w:rPr>
          <w:rFonts w:ascii="Verdana" w:hAnsi="Verdana"/>
          <w:sz w:val="20"/>
          <w:szCs w:val="20"/>
        </w:rPr>
        <w:t xml:space="preserve"> </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Aparcamiento de terraplén: ya iniciada fecha de finalización aproximada 10 de agosto.</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Reforma Capuchinos, Eza, Sarasate y J. A. Fernández: Ya adjudicada, pendiente acta de replanteo en mes de junio, comienzo después del verano y finalización a finales del año 2020 (18 meses de ejecución).</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Calle Zahorí y adyacentes: ya adjudicada, inicio inminente y finalizada para mediados de febrero (seis meses y medio).</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Complejo Polideportivo: En redacción, se presentará proyecto definitivo para licitar la obra a lo largo del mes de julio. Importancia de toma de decisión inminente sobre las características del mismo. Ha de ejecutarse íntegramente ante del 31/12/20.</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Paseo Pamplona y Calle Muro: Proyecto ya redactado, habría que licitar de manera inminente su ejecución en una 1ª fase (sólo Paseo Pamplona) e iniciar la obra en el último trimestre del año.</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lastRenderedPageBreak/>
        <w:t>Señalización viaria zonas 30, Carriles Bici y Polígono Las Labradas: ya adjudicada, inicio inminente, ejecución en 5 días.</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Proyecto “</w:t>
      </w:r>
      <w:r w:rsidRPr="00FD0D06">
        <w:rPr>
          <w:rFonts w:ascii="Verdana" w:hAnsi="Verdana"/>
          <w:i/>
          <w:sz w:val="20"/>
          <w:szCs w:val="20"/>
        </w:rPr>
        <w:t>Érase una vez un… lugar</w:t>
      </w:r>
      <w:r>
        <w:rPr>
          <w:rFonts w:ascii="Verdana" w:hAnsi="Verdana"/>
          <w:sz w:val="20"/>
          <w:szCs w:val="20"/>
        </w:rPr>
        <w:t>”: ya diseñado para calles Cortes-Magallón en ejecución inminente por el Empleo Social Protegido.</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Vivienda pública y reforma urbana Coscolín: Licitación de obra inminente e inicio de ejecución septiembre 2019.</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Proyectos de intervención global PIG´s y planificación Reforma Padre Lasa: ya en redacción. </w:t>
      </w:r>
    </w:p>
    <w:p w:rsidR="00800F15" w:rsidRDefault="00800F15"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Cubierta Elvira España: En licitación.</w:t>
      </w:r>
    </w:p>
    <w:p w:rsidR="00800F15" w:rsidRDefault="00800F15"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Cubierta Polideportivo: En licitación.</w:t>
      </w:r>
    </w:p>
    <w:p w:rsidR="00800F15" w:rsidRDefault="00800F15"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Obras Patinódromo: Inicio obra inminente.</w:t>
      </w:r>
    </w:p>
    <w:p w:rsidR="00800F15" w:rsidRDefault="00800F15"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Obra Lestonnac: Inicio Obra finales de junio.</w:t>
      </w:r>
    </w:p>
    <w:p w:rsidR="00493DBA" w:rsidRDefault="00493DBA"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Proyecto Pistas Atletismo: Ya licitada, pendiente adjudicación redacción proyecto.</w:t>
      </w:r>
    </w:p>
    <w:p w:rsidR="00800F15" w:rsidRDefault="00800F15"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Obras colegios públicos: Adjudicadas, pendientes de ejecución en verano.</w:t>
      </w:r>
    </w:p>
    <w:p w:rsidR="00800F15" w:rsidRDefault="00800F15"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Reforma Electricidad 1ª fase Elvira España: </w:t>
      </w:r>
      <w:r w:rsidR="00493DBA">
        <w:rPr>
          <w:rFonts w:ascii="Verdana" w:hAnsi="Verdana"/>
          <w:sz w:val="20"/>
          <w:szCs w:val="20"/>
        </w:rPr>
        <w:t>En licitación.</w:t>
      </w:r>
    </w:p>
    <w:p w:rsidR="001E42E2" w:rsidRDefault="001E42E2" w:rsidP="001E42E2">
      <w:pPr>
        <w:pStyle w:val="Prrafodelista"/>
        <w:spacing w:before="240" w:line="240" w:lineRule="auto"/>
        <w:ind w:left="0"/>
        <w:contextualSpacing w:val="0"/>
        <w:rPr>
          <w:rFonts w:ascii="Verdana" w:hAnsi="Verdana"/>
          <w:sz w:val="20"/>
          <w:szCs w:val="20"/>
        </w:rPr>
      </w:pPr>
    </w:p>
    <w:p w:rsidR="001E42E2" w:rsidRDefault="001E42E2" w:rsidP="001E42E2">
      <w:pPr>
        <w:rPr>
          <w:rFonts w:ascii="Georgia" w:hAnsi="Georgia"/>
          <w:sz w:val="40"/>
          <w:szCs w:val="40"/>
        </w:rPr>
      </w:pPr>
      <w:r>
        <w:rPr>
          <w:rFonts w:ascii="Georgia" w:hAnsi="Georgia"/>
          <w:sz w:val="40"/>
          <w:szCs w:val="40"/>
        </w:rPr>
        <w:t>Junta Municipal de Aguas</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Ampliación del depósito y bombeo Montes de Cierzo: en ejecución, finalizará el próximo 9 de septiembre.</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Renovación parcial redes Avenida del barrio: ya licitada, pendiente adjudicación inicio inminente, duración 3 meses.</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Impermeabilización vaso III ETAP: pendiente de licitar, inicio octubre del 2019.</w:t>
      </w:r>
    </w:p>
    <w:p w:rsidR="001E42E2" w:rsidRDefault="001E42E2" w:rsidP="001E42E2">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Renovación red Plaza Sancho el Fuerte: inicio inminente junio 19.</w:t>
      </w:r>
    </w:p>
    <w:p w:rsidR="00493DBA" w:rsidRDefault="00493DBA">
      <w:pPr>
        <w:rPr>
          <w:rFonts w:ascii="Verdana" w:hAnsi="Verdana"/>
          <w:sz w:val="20"/>
          <w:szCs w:val="20"/>
        </w:rPr>
      </w:pPr>
      <w:r>
        <w:rPr>
          <w:rFonts w:ascii="Verdana" w:hAnsi="Verdana"/>
          <w:sz w:val="20"/>
          <w:szCs w:val="20"/>
        </w:rPr>
        <w:br w:type="page"/>
      </w:r>
    </w:p>
    <w:p w:rsidR="00493DBA" w:rsidRDefault="00493DBA" w:rsidP="002C68E9">
      <w:pPr>
        <w:rPr>
          <w:rFonts w:ascii="Georgia" w:hAnsi="Georgia"/>
          <w:sz w:val="40"/>
          <w:szCs w:val="40"/>
        </w:rPr>
      </w:pPr>
      <w:r>
        <w:rPr>
          <w:rFonts w:ascii="Georgia" w:hAnsi="Georgia"/>
          <w:sz w:val="40"/>
          <w:szCs w:val="40"/>
        </w:rPr>
        <w:lastRenderedPageBreak/>
        <w:t>Área de Personal y Organización Interna</w:t>
      </w:r>
    </w:p>
    <w:p w:rsidR="00493DBA" w:rsidRDefault="00493DBA" w:rsidP="00493DBA">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OPE extraordinaria: se deja preparada para su negociación una OPE para ejecución en 2019-2020 de 58 plazas de estabilización del empleo.</w:t>
      </w:r>
    </w:p>
    <w:p w:rsidR="00493DBA" w:rsidRDefault="00493DBA" w:rsidP="00493DBA">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En vía de negociación, criterios de contratación temporal y regulación de prolongación de jornada, guardias y hs. Extra.</w:t>
      </w:r>
    </w:p>
    <w:p w:rsidR="00493DBA" w:rsidRDefault="00493DBA" w:rsidP="00493DBA">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Pendiente la negociación de nuevo acuerdo de condiciones de trabajo y descripción de puestos de trabajo en policía.</w:t>
      </w:r>
    </w:p>
    <w:p w:rsidR="00493DBA" w:rsidRDefault="00493DBA" w:rsidP="00493DBA">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Pendiente el desarrollo de todo lo concerniente a administración electrónica.</w:t>
      </w:r>
    </w:p>
    <w:p w:rsidR="00D61AA3" w:rsidRDefault="00D61AA3" w:rsidP="00D61AA3">
      <w:pPr>
        <w:pStyle w:val="Prrafodelista"/>
        <w:spacing w:before="240" w:line="240" w:lineRule="auto"/>
        <w:ind w:left="0"/>
        <w:contextualSpacing w:val="0"/>
        <w:rPr>
          <w:rFonts w:ascii="Verdana" w:hAnsi="Verdana"/>
          <w:sz w:val="20"/>
          <w:szCs w:val="20"/>
        </w:rPr>
      </w:pPr>
    </w:p>
    <w:p w:rsidR="00D61AA3" w:rsidRDefault="00D61AA3" w:rsidP="00D61AA3">
      <w:pPr>
        <w:rPr>
          <w:rFonts w:ascii="Georgia" w:hAnsi="Georgia"/>
          <w:sz w:val="40"/>
          <w:szCs w:val="40"/>
        </w:rPr>
      </w:pPr>
      <w:r>
        <w:rPr>
          <w:rFonts w:ascii="Georgia" w:hAnsi="Georgia"/>
          <w:sz w:val="40"/>
          <w:szCs w:val="40"/>
        </w:rPr>
        <w:t>Área de Asuntos Sociales</w:t>
      </w:r>
      <w:r w:rsidR="006154D6">
        <w:rPr>
          <w:rFonts w:ascii="Georgia" w:hAnsi="Georgia"/>
          <w:sz w:val="40"/>
          <w:szCs w:val="40"/>
        </w:rPr>
        <w:t xml:space="preserve">, Igualdad </w:t>
      </w:r>
      <w:r w:rsidR="007469A0">
        <w:rPr>
          <w:rFonts w:ascii="Georgia" w:hAnsi="Georgia"/>
          <w:sz w:val="40"/>
          <w:szCs w:val="40"/>
        </w:rPr>
        <w:t xml:space="preserve"> y Empleo</w:t>
      </w:r>
    </w:p>
    <w:p w:rsidR="00D61AA3" w:rsidRDefault="00875265"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Plan municipal de Adicciones adjudicado y en proceso de </w:t>
      </w:r>
      <w:proofErr w:type="gramStart"/>
      <w:r>
        <w:rPr>
          <w:rFonts w:ascii="Verdana" w:hAnsi="Verdana"/>
          <w:sz w:val="20"/>
          <w:szCs w:val="20"/>
        </w:rPr>
        <w:t>elaboración</w:t>
      </w:r>
      <w:r w:rsidRPr="00875265">
        <w:rPr>
          <w:rFonts w:ascii="Verdana" w:hAnsi="Verdana"/>
          <w:sz w:val="20"/>
          <w:szCs w:val="20"/>
        </w:rPr>
        <w:t xml:space="preserve"> </w:t>
      </w:r>
      <w:r>
        <w:rPr>
          <w:rFonts w:ascii="Verdana" w:hAnsi="Verdana"/>
          <w:sz w:val="20"/>
          <w:szCs w:val="20"/>
        </w:rPr>
        <w:t>,</w:t>
      </w:r>
      <w:proofErr w:type="gramEnd"/>
      <w:r w:rsidR="006154D6">
        <w:rPr>
          <w:rFonts w:ascii="Verdana" w:hAnsi="Verdana"/>
          <w:sz w:val="20"/>
          <w:szCs w:val="20"/>
        </w:rPr>
        <w:t xml:space="preserve"> </w:t>
      </w:r>
      <w:r>
        <w:rPr>
          <w:rFonts w:ascii="Verdana" w:hAnsi="Verdana"/>
          <w:sz w:val="20"/>
          <w:szCs w:val="20"/>
        </w:rPr>
        <w:t>se presenta a finales de junio.</w:t>
      </w:r>
    </w:p>
    <w:p w:rsidR="00C52BF0" w:rsidRDefault="00875265"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Participación en el Proyecto comarcal de prevención  en adicciones, </w:t>
      </w:r>
      <w:r w:rsidR="00C52BF0">
        <w:rPr>
          <w:rFonts w:ascii="Verdana" w:hAnsi="Verdana"/>
          <w:sz w:val="20"/>
          <w:szCs w:val="20"/>
        </w:rPr>
        <w:t xml:space="preserve">con financiación foral a desarrollar </w:t>
      </w:r>
      <w:r>
        <w:rPr>
          <w:rFonts w:ascii="Verdana" w:hAnsi="Verdana"/>
          <w:sz w:val="20"/>
          <w:szCs w:val="20"/>
        </w:rPr>
        <w:t xml:space="preserve"> en el </w:t>
      </w:r>
      <w:r w:rsidR="00C52BF0">
        <w:rPr>
          <w:rFonts w:ascii="Verdana" w:hAnsi="Verdana"/>
          <w:sz w:val="20"/>
          <w:szCs w:val="20"/>
        </w:rPr>
        <w:t>segundo semestre del 2019.</w:t>
      </w:r>
      <w:r>
        <w:rPr>
          <w:rFonts w:ascii="Verdana" w:hAnsi="Verdana"/>
          <w:sz w:val="20"/>
          <w:szCs w:val="20"/>
        </w:rPr>
        <w:t xml:space="preserve"> Responsable-coordinador es EDER.</w:t>
      </w:r>
    </w:p>
    <w:p w:rsidR="00C52BF0" w:rsidRDefault="00875265"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Convenio de colaboración</w:t>
      </w:r>
      <w:r w:rsidR="00C52BF0">
        <w:rPr>
          <w:rFonts w:ascii="Verdana" w:hAnsi="Verdana"/>
          <w:sz w:val="20"/>
          <w:szCs w:val="20"/>
        </w:rPr>
        <w:t xml:space="preserve"> Hospital-SAD</w:t>
      </w:r>
      <w:r>
        <w:rPr>
          <w:rFonts w:ascii="Verdana" w:hAnsi="Verdana"/>
          <w:sz w:val="20"/>
          <w:szCs w:val="20"/>
        </w:rPr>
        <w:t>, para altas hospitalarias de pacientes temporalmente dependientes,</w:t>
      </w:r>
      <w:r w:rsidR="00C52BF0">
        <w:rPr>
          <w:rFonts w:ascii="Verdana" w:hAnsi="Verdana"/>
          <w:sz w:val="20"/>
          <w:szCs w:val="20"/>
        </w:rPr>
        <w:t xml:space="preserve"> únicamente pendiente de firma para comenzar su andadura.</w:t>
      </w:r>
    </w:p>
    <w:p w:rsidR="00C52BF0" w:rsidRDefault="00875265"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Nuevo proyecto de </w:t>
      </w:r>
      <w:r w:rsidR="00C52BF0">
        <w:rPr>
          <w:rFonts w:ascii="Verdana" w:hAnsi="Verdana"/>
          <w:sz w:val="20"/>
          <w:szCs w:val="20"/>
        </w:rPr>
        <w:t>Promoto</w:t>
      </w:r>
      <w:r>
        <w:rPr>
          <w:rFonts w:ascii="Verdana" w:hAnsi="Verdana"/>
          <w:sz w:val="20"/>
          <w:szCs w:val="20"/>
        </w:rPr>
        <w:t>r/a escolar, en elaboración,</w:t>
      </w:r>
      <w:r w:rsidR="00C52BF0">
        <w:rPr>
          <w:rFonts w:ascii="Verdana" w:hAnsi="Verdana"/>
          <w:sz w:val="20"/>
          <w:szCs w:val="20"/>
        </w:rPr>
        <w:t xml:space="preserve"> pendiente de publicación de la convocatoria.</w:t>
      </w:r>
    </w:p>
    <w:p w:rsidR="00C52BF0" w:rsidRDefault="00C52BF0"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Proyecto </w:t>
      </w:r>
      <w:r w:rsidR="00875265">
        <w:rPr>
          <w:rFonts w:ascii="Verdana" w:hAnsi="Verdana"/>
          <w:sz w:val="20"/>
          <w:szCs w:val="20"/>
        </w:rPr>
        <w:t xml:space="preserve"> piloto </w:t>
      </w:r>
      <w:r>
        <w:rPr>
          <w:rFonts w:ascii="Verdana" w:hAnsi="Verdana"/>
          <w:sz w:val="20"/>
          <w:szCs w:val="20"/>
        </w:rPr>
        <w:t>de educación en Calle</w:t>
      </w:r>
      <w:r w:rsidR="00875265">
        <w:rPr>
          <w:rFonts w:ascii="Verdana" w:hAnsi="Verdana"/>
          <w:sz w:val="20"/>
          <w:szCs w:val="20"/>
        </w:rPr>
        <w:t xml:space="preserve"> con jóvenes, con la entidad </w:t>
      </w:r>
      <w:r>
        <w:rPr>
          <w:rFonts w:ascii="Verdana" w:hAnsi="Verdana"/>
          <w:sz w:val="20"/>
          <w:szCs w:val="20"/>
        </w:rPr>
        <w:t xml:space="preserve"> </w:t>
      </w:r>
      <w:r>
        <w:rPr>
          <w:rFonts w:ascii="Verdana" w:hAnsi="Verdana"/>
          <w:i/>
          <w:sz w:val="20"/>
          <w:szCs w:val="20"/>
        </w:rPr>
        <w:t>Nuevo Futuro</w:t>
      </w:r>
      <w:r>
        <w:rPr>
          <w:rFonts w:ascii="Verdana" w:hAnsi="Verdana"/>
          <w:sz w:val="20"/>
          <w:szCs w:val="20"/>
        </w:rPr>
        <w:t xml:space="preserve">, </w:t>
      </w:r>
      <w:r w:rsidR="00875265">
        <w:rPr>
          <w:rFonts w:ascii="Verdana" w:hAnsi="Verdana"/>
          <w:sz w:val="20"/>
          <w:szCs w:val="20"/>
        </w:rPr>
        <w:t xml:space="preserve">pendiente firma de acuerdo </w:t>
      </w:r>
      <w:r>
        <w:rPr>
          <w:rFonts w:ascii="Verdana" w:hAnsi="Verdana"/>
          <w:sz w:val="20"/>
          <w:szCs w:val="20"/>
        </w:rPr>
        <w:t xml:space="preserve"> para su puesta en marcha.</w:t>
      </w:r>
      <w:r w:rsidR="00875265">
        <w:rPr>
          <w:rFonts w:ascii="Verdana" w:hAnsi="Verdana"/>
          <w:sz w:val="20"/>
          <w:szCs w:val="20"/>
        </w:rPr>
        <w:t xml:space="preserve"> Sin coste para el Ayuntamiento porque cuenta con la financiación de GN.</w:t>
      </w:r>
    </w:p>
    <w:p w:rsidR="00C52BF0" w:rsidRDefault="00875265"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Curso de formación de agentes  </w:t>
      </w:r>
      <w:proofErr w:type="spellStart"/>
      <w:r>
        <w:rPr>
          <w:rFonts w:ascii="Verdana" w:hAnsi="Verdana"/>
          <w:sz w:val="20"/>
          <w:szCs w:val="20"/>
        </w:rPr>
        <w:t>antir</w:t>
      </w:r>
      <w:r w:rsidR="006154D6">
        <w:rPr>
          <w:rFonts w:ascii="Verdana" w:hAnsi="Verdana"/>
          <w:sz w:val="20"/>
          <w:szCs w:val="20"/>
        </w:rPr>
        <w:t>r</w:t>
      </w:r>
      <w:r>
        <w:rPr>
          <w:rFonts w:ascii="Verdana" w:hAnsi="Verdana"/>
          <w:sz w:val="20"/>
          <w:szCs w:val="20"/>
        </w:rPr>
        <w:t>umores</w:t>
      </w:r>
      <w:proofErr w:type="spellEnd"/>
      <w:r>
        <w:rPr>
          <w:rFonts w:ascii="Verdana" w:hAnsi="Verdana"/>
          <w:sz w:val="20"/>
          <w:szCs w:val="20"/>
        </w:rPr>
        <w:t>,</w:t>
      </w:r>
      <w:r w:rsidR="00C52BF0">
        <w:rPr>
          <w:rFonts w:ascii="Verdana" w:hAnsi="Verdana"/>
          <w:sz w:val="20"/>
          <w:szCs w:val="20"/>
        </w:rPr>
        <w:t xml:space="preserve"> a falta de una sesión</w:t>
      </w:r>
      <w:r>
        <w:rPr>
          <w:rFonts w:ascii="Verdana" w:hAnsi="Verdana"/>
          <w:sz w:val="20"/>
          <w:szCs w:val="20"/>
        </w:rPr>
        <w:t xml:space="preserve"> de formación. En septiembre presentación de  R</w:t>
      </w:r>
      <w:r w:rsidR="00C52BF0">
        <w:rPr>
          <w:rFonts w:ascii="Verdana" w:hAnsi="Verdana"/>
          <w:sz w:val="20"/>
          <w:szCs w:val="20"/>
        </w:rPr>
        <w:t>ed</w:t>
      </w:r>
      <w:r>
        <w:rPr>
          <w:rFonts w:ascii="Verdana" w:hAnsi="Verdana"/>
          <w:sz w:val="20"/>
          <w:szCs w:val="20"/>
        </w:rPr>
        <w:t xml:space="preserve"> </w:t>
      </w:r>
      <w:proofErr w:type="spellStart"/>
      <w:r>
        <w:rPr>
          <w:rFonts w:ascii="Verdana" w:hAnsi="Verdana"/>
          <w:sz w:val="20"/>
          <w:szCs w:val="20"/>
        </w:rPr>
        <w:t>Antirrumores</w:t>
      </w:r>
      <w:proofErr w:type="spellEnd"/>
      <w:r w:rsidR="00C52BF0">
        <w:rPr>
          <w:rFonts w:ascii="Verdana" w:hAnsi="Verdana"/>
          <w:sz w:val="20"/>
          <w:szCs w:val="20"/>
        </w:rPr>
        <w:t>.</w:t>
      </w:r>
    </w:p>
    <w:p w:rsidR="00C52BF0" w:rsidRDefault="00C52BF0" w:rsidP="00D61AA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Plan de fo</w:t>
      </w:r>
      <w:r w:rsidR="00875265">
        <w:rPr>
          <w:rFonts w:ascii="Verdana" w:hAnsi="Verdana"/>
          <w:sz w:val="20"/>
          <w:szCs w:val="20"/>
        </w:rPr>
        <w:t>rmación de Servicios Sociales, y</w:t>
      </w:r>
      <w:r>
        <w:rPr>
          <w:rFonts w:ascii="Verdana" w:hAnsi="Verdana"/>
          <w:sz w:val="20"/>
          <w:szCs w:val="20"/>
        </w:rPr>
        <w:t>a preparado para comenzar en julio del 2019.</w:t>
      </w:r>
    </w:p>
    <w:p w:rsidR="006154D6" w:rsidRPr="006154D6" w:rsidRDefault="006154D6" w:rsidP="006154D6">
      <w:pPr>
        <w:pStyle w:val="Prrafodelista"/>
        <w:numPr>
          <w:ilvl w:val="0"/>
          <w:numId w:val="1"/>
        </w:numPr>
        <w:spacing w:before="240" w:line="240" w:lineRule="auto"/>
        <w:ind w:left="0" w:hanging="357"/>
        <w:contextualSpacing w:val="0"/>
        <w:rPr>
          <w:rFonts w:ascii="Verdana" w:hAnsi="Verdana"/>
          <w:sz w:val="20"/>
          <w:szCs w:val="20"/>
        </w:rPr>
      </w:pPr>
      <w:r w:rsidRPr="006154D6">
        <w:rPr>
          <w:rFonts w:ascii="Verdana" w:hAnsi="Verdana"/>
          <w:sz w:val="20"/>
          <w:szCs w:val="20"/>
        </w:rPr>
        <w:t xml:space="preserve">Igualdad: A cargo  de los fondos transferidos al Ayto. de Tudela desde la Secretaría de Estado de Igualdad, con el objeto de implementar </w:t>
      </w:r>
      <w:proofErr w:type="gramStart"/>
      <w:r w:rsidRPr="006154D6">
        <w:rPr>
          <w:rFonts w:ascii="Verdana" w:hAnsi="Verdana"/>
          <w:sz w:val="20"/>
          <w:szCs w:val="20"/>
        </w:rPr>
        <w:t>la medidas acordadas</w:t>
      </w:r>
      <w:proofErr w:type="gramEnd"/>
      <w:r w:rsidRPr="006154D6">
        <w:rPr>
          <w:rFonts w:ascii="Verdana" w:hAnsi="Verdana"/>
          <w:sz w:val="20"/>
          <w:szCs w:val="20"/>
        </w:rPr>
        <w:t xml:space="preserve"> en el Pacto de Estado contra la violencia de género, se está elaborando el primer Protocolo  Local para la coordinación de la actuación ante la violencia contra las mujeres, que estará finalizado a finales  de mes. Además dentro de esta financiación se ha organizado una parte  de la campaña  de prevención de violencia contra las mujeres en con motivo de las fiestas de Santa Ana. </w:t>
      </w:r>
      <w:r>
        <w:rPr>
          <w:rFonts w:ascii="Verdana" w:hAnsi="Verdana"/>
          <w:sz w:val="20"/>
          <w:szCs w:val="20"/>
        </w:rPr>
        <w:t>Campaña que ya está planificada y organizada en su totalidad.</w:t>
      </w:r>
    </w:p>
    <w:p w:rsidR="006154D6" w:rsidRPr="006154D6" w:rsidRDefault="007469A0" w:rsidP="006154D6">
      <w:pPr>
        <w:pStyle w:val="Prrafodelista"/>
        <w:numPr>
          <w:ilvl w:val="0"/>
          <w:numId w:val="1"/>
        </w:numPr>
        <w:spacing w:before="240" w:line="240" w:lineRule="auto"/>
        <w:ind w:left="0" w:hanging="357"/>
        <w:contextualSpacing w:val="0"/>
        <w:rPr>
          <w:rFonts w:ascii="Verdana" w:hAnsi="Verdana"/>
          <w:sz w:val="20"/>
          <w:szCs w:val="20"/>
        </w:rPr>
      </w:pPr>
      <w:r w:rsidRPr="006154D6">
        <w:rPr>
          <w:rFonts w:ascii="Verdana" w:hAnsi="Verdana"/>
          <w:sz w:val="20"/>
          <w:szCs w:val="20"/>
        </w:rPr>
        <w:t xml:space="preserve">Empleo: Este año hemos alcanzado una serie de compromisos de cofinanciación de Escuelas Taller y Programas Integrados de Formación y Empleo con algunas entidades de cara a posicionarnos como proveedores de oportunidades de empleabilidad. </w:t>
      </w:r>
    </w:p>
    <w:p w:rsidR="006154D6" w:rsidRDefault="006154D6" w:rsidP="006154D6">
      <w:pPr>
        <w:pStyle w:val="Prrafodelista"/>
        <w:spacing w:before="240" w:line="240" w:lineRule="auto"/>
        <w:ind w:left="0"/>
        <w:contextualSpacing w:val="0"/>
        <w:rPr>
          <w:rFonts w:ascii="Verdana" w:hAnsi="Verdana"/>
          <w:sz w:val="20"/>
          <w:szCs w:val="20"/>
        </w:rPr>
      </w:pPr>
    </w:p>
    <w:p w:rsidR="006154D6" w:rsidRDefault="006154D6" w:rsidP="006154D6">
      <w:pPr>
        <w:pStyle w:val="Prrafodelista"/>
        <w:spacing w:before="240" w:line="240" w:lineRule="auto"/>
        <w:ind w:left="0"/>
        <w:contextualSpacing w:val="0"/>
        <w:rPr>
          <w:rFonts w:ascii="Verdana" w:hAnsi="Verdana"/>
          <w:sz w:val="20"/>
          <w:szCs w:val="20"/>
        </w:rPr>
      </w:pPr>
    </w:p>
    <w:p w:rsidR="007469A0" w:rsidRPr="005E2D8B" w:rsidRDefault="007469A0" w:rsidP="006154D6">
      <w:pPr>
        <w:pStyle w:val="Prrafodelista"/>
        <w:spacing w:before="240" w:line="240" w:lineRule="auto"/>
        <w:ind w:left="0"/>
        <w:contextualSpacing w:val="0"/>
        <w:rPr>
          <w:rFonts w:ascii="Verdana" w:hAnsi="Verdana"/>
          <w:sz w:val="20"/>
          <w:szCs w:val="20"/>
        </w:rPr>
      </w:pPr>
      <w:r w:rsidRPr="005E2D8B">
        <w:rPr>
          <w:rFonts w:ascii="Verdana" w:hAnsi="Verdana"/>
          <w:sz w:val="20"/>
          <w:szCs w:val="20"/>
        </w:rPr>
        <w:t>El abandono de estas políticas nos había dejado sin opción de ser solicitantes y sin tiempo necesario para posicionarnos en mejores condiciones</w:t>
      </w:r>
      <w:r w:rsidR="006154D6">
        <w:rPr>
          <w:rFonts w:ascii="Verdana" w:hAnsi="Verdana"/>
          <w:sz w:val="20"/>
          <w:szCs w:val="20"/>
        </w:rPr>
        <w:t>, ya que no estamos homologados como entidad de formación</w:t>
      </w:r>
      <w:r w:rsidRPr="005E2D8B">
        <w:rPr>
          <w:rFonts w:ascii="Verdana" w:hAnsi="Verdana"/>
          <w:sz w:val="20"/>
          <w:szCs w:val="20"/>
        </w:rPr>
        <w:t>. Por ello hemos optado coyunturalmente por colaborar con otros. La idea es recuperar “La Obra” como espacio formativo y generador de empleabilidad. Asimismo explorar otras opciones para profundizar en ámbitos adaptados a las demandas y necesidades de Tudela. Las acciones formativas y el compromiso económico es el siguiente para los años 2019/2020/20121:</w:t>
      </w:r>
    </w:p>
    <w:p w:rsidR="007469A0" w:rsidRPr="005E2D8B" w:rsidRDefault="007469A0" w:rsidP="007469A0">
      <w:pPr>
        <w:jc w:val="both"/>
        <w:rPr>
          <w:rFonts w:ascii="Verdana" w:hAnsi="Verdana"/>
          <w:b/>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7"/>
        <w:gridCol w:w="1066"/>
        <w:gridCol w:w="2031"/>
        <w:gridCol w:w="1040"/>
        <w:gridCol w:w="1168"/>
        <w:gridCol w:w="785"/>
        <w:gridCol w:w="1237"/>
      </w:tblGrid>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b/>
                <w:sz w:val="18"/>
                <w:szCs w:val="18"/>
              </w:rPr>
            </w:pPr>
            <w:r>
              <w:rPr>
                <w:rFonts w:asciiTheme="majorHAnsi" w:eastAsia="Times New Roman" w:hAnsiTheme="majorHAnsi" w:cs="Arial"/>
                <w:b/>
                <w:sz w:val="18"/>
                <w:szCs w:val="18"/>
              </w:rPr>
              <w:t>Tipologí</w:t>
            </w:r>
            <w:r w:rsidRPr="007C4670">
              <w:rPr>
                <w:rFonts w:asciiTheme="majorHAnsi" w:eastAsia="Times New Roman" w:hAnsiTheme="majorHAnsi" w:cs="Arial"/>
                <w:b/>
                <w:sz w:val="18"/>
                <w:szCs w:val="18"/>
              </w:rPr>
              <w:t>a</w:t>
            </w:r>
          </w:p>
        </w:tc>
        <w:tc>
          <w:tcPr>
            <w:tcW w:w="623"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Entidad</w:t>
            </w:r>
          </w:p>
        </w:tc>
        <w:tc>
          <w:tcPr>
            <w:tcW w:w="1187"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Temario</w:t>
            </w:r>
          </w:p>
        </w:tc>
        <w:tc>
          <w:tcPr>
            <w:tcW w:w="608"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Duración</w:t>
            </w:r>
          </w:p>
        </w:tc>
        <w:tc>
          <w:tcPr>
            <w:tcW w:w="683"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Fechas</w:t>
            </w:r>
          </w:p>
        </w:tc>
        <w:tc>
          <w:tcPr>
            <w:tcW w:w="459"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Alumnos</w:t>
            </w:r>
          </w:p>
        </w:tc>
        <w:tc>
          <w:tcPr>
            <w:tcW w:w="724"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Co-financiación</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1 Escuela-Taller</w:t>
            </w:r>
          </w:p>
        </w:tc>
        <w:tc>
          <w:tcPr>
            <w:tcW w:w="62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Ilundain</w:t>
            </w:r>
          </w:p>
        </w:tc>
        <w:tc>
          <w:tcPr>
            <w:tcW w:w="118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Operaciones Básicas restaurante (1)</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24 meses</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01/10/2019-30/09/21</w:t>
            </w:r>
          </w:p>
        </w:tc>
        <w:tc>
          <w:tcPr>
            <w:tcW w:w="459"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20</w:t>
            </w:r>
          </w:p>
        </w:tc>
        <w:tc>
          <w:tcPr>
            <w:tcW w:w="724"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55.000,00 €</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p>
        </w:tc>
        <w:tc>
          <w:tcPr>
            <w:tcW w:w="623" w:type="pct"/>
            <w:vAlign w:val="bottom"/>
            <w:hideMark/>
          </w:tcPr>
          <w:p w:rsidR="007469A0" w:rsidRPr="007C4670" w:rsidRDefault="007469A0" w:rsidP="00725012">
            <w:pPr>
              <w:rPr>
                <w:rFonts w:asciiTheme="majorHAnsi" w:eastAsia="Times New Roman" w:hAnsiTheme="majorHAnsi" w:cs="Arial"/>
                <w:sz w:val="18"/>
                <w:szCs w:val="18"/>
              </w:rPr>
            </w:pPr>
          </w:p>
        </w:tc>
        <w:tc>
          <w:tcPr>
            <w:tcW w:w="118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Operaciones Básicas Cocina (1)</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2 PIFE</w:t>
            </w:r>
          </w:p>
        </w:tc>
        <w:tc>
          <w:tcPr>
            <w:tcW w:w="62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Ilundain</w:t>
            </w:r>
          </w:p>
        </w:tc>
        <w:tc>
          <w:tcPr>
            <w:tcW w:w="118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Agricultura Ecológica</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11 meses</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01/11/19-30/09/20</w:t>
            </w:r>
          </w:p>
        </w:tc>
        <w:tc>
          <w:tcPr>
            <w:tcW w:w="459"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20</w:t>
            </w:r>
          </w:p>
        </w:tc>
        <w:tc>
          <w:tcPr>
            <w:tcW w:w="724"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15.000,00 €</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3 PIFE</w:t>
            </w:r>
          </w:p>
        </w:tc>
        <w:tc>
          <w:tcPr>
            <w:tcW w:w="623" w:type="pct"/>
            <w:vAlign w:val="bottom"/>
            <w:hideMark/>
          </w:tcPr>
          <w:p w:rsidR="007469A0" w:rsidRPr="007C4670" w:rsidRDefault="007469A0" w:rsidP="00725012">
            <w:pPr>
              <w:rPr>
                <w:rFonts w:asciiTheme="majorHAnsi" w:eastAsia="Times New Roman" w:hAnsiTheme="majorHAnsi" w:cs="Arial"/>
                <w:sz w:val="18"/>
                <w:szCs w:val="18"/>
              </w:rPr>
            </w:pPr>
            <w:r>
              <w:rPr>
                <w:rFonts w:asciiTheme="majorHAnsi" w:eastAsia="Times New Roman" w:hAnsiTheme="majorHAnsi" w:cs="Arial"/>
                <w:sz w:val="18"/>
                <w:szCs w:val="18"/>
              </w:rPr>
              <w:t>Fundación Laboral de la Construcción</w:t>
            </w:r>
          </w:p>
        </w:tc>
        <w:tc>
          <w:tcPr>
            <w:tcW w:w="118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Construcción</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11 meses</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01/11/19-30/09/20</w:t>
            </w:r>
          </w:p>
        </w:tc>
        <w:tc>
          <w:tcPr>
            <w:tcW w:w="459"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20</w:t>
            </w:r>
          </w:p>
        </w:tc>
        <w:tc>
          <w:tcPr>
            <w:tcW w:w="724"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15.000,00 €</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4 PIFE</w:t>
            </w:r>
          </w:p>
        </w:tc>
        <w:tc>
          <w:tcPr>
            <w:tcW w:w="62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POSTHAC</w:t>
            </w:r>
          </w:p>
        </w:tc>
        <w:tc>
          <w:tcPr>
            <w:tcW w:w="118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Turismo</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11 meses</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01/11/19-30/09/20</w:t>
            </w:r>
          </w:p>
        </w:tc>
        <w:tc>
          <w:tcPr>
            <w:tcW w:w="459"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20</w:t>
            </w:r>
          </w:p>
        </w:tc>
        <w:tc>
          <w:tcPr>
            <w:tcW w:w="724"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18.000,00 €</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5 Escuela-Taller</w:t>
            </w:r>
          </w:p>
        </w:tc>
        <w:tc>
          <w:tcPr>
            <w:tcW w:w="623" w:type="pct"/>
            <w:vAlign w:val="bottom"/>
            <w:hideMark/>
          </w:tcPr>
          <w:p w:rsidR="007469A0" w:rsidRPr="007C4670" w:rsidRDefault="007469A0" w:rsidP="00725012">
            <w:pPr>
              <w:rPr>
                <w:rFonts w:asciiTheme="majorHAnsi" w:eastAsia="Times New Roman" w:hAnsiTheme="majorHAnsi" w:cs="Arial"/>
                <w:sz w:val="18"/>
                <w:szCs w:val="18"/>
              </w:rPr>
            </w:pPr>
            <w:r>
              <w:rPr>
                <w:rFonts w:asciiTheme="majorHAnsi" w:eastAsia="Times New Roman" w:hAnsiTheme="majorHAnsi" w:cs="Arial"/>
                <w:sz w:val="18"/>
                <w:szCs w:val="18"/>
              </w:rPr>
              <w:t>Fundación Laboral de la Construcción</w:t>
            </w:r>
          </w:p>
        </w:tc>
        <w:tc>
          <w:tcPr>
            <w:tcW w:w="1187" w:type="pct"/>
            <w:vAlign w:val="bottom"/>
            <w:hideMark/>
          </w:tcPr>
          <w:p w:rsidR="007469A0" w:rsidRPr="007C4670" w:rsidRDefault="007469A0" w:rsidP="00725012">
            <w:pPr>
              <w:rPr>
                <w:rFonts w:asciiTheme="majorHAnsi" w:eastAsia="Times New Roman" w:hAnsiTheme="majorHAnsi" w:cs="Arial"/>
                <w:sz w:val="18"/>
                <w:szCs w:val="18"/>
              </w:rPr>
            </w:pPr>
            <w:r>
              <w:rPr>
                <w:rFonts w:asciiTheme="majorHAnsi" w:eastAsia="Times New Roman" w:hAnsiTheme="majorHAnsi" w:cs="Arial"/>
                <w:sz w:val="18"/>
                <w:szCs w:val="18"/>
              </w:rPr>
              <w:t xml:space="preserve">Acondicionamiento de </w:t>
            </w:r>
            <w:r w:rsidRPr="007C4670">
              <w:rPr>
                <w:rFonts w:asciiTheme="majorHAnsi" w:eastAsia="Times New Roman" w:hAnsiTheme="majorHAnsi" w:cs="Arial"/>
                <w:sz w:val="18"/>
                <w:szCs w:val="18"/>
              </w:rPr>
              <w:t>Santa Bárbara</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24 meses</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01/10/2019-30/09/21</w:t>
            </w:r>
          </w:p>
        </w:tc>
        <w:tc>
          <w:tcPr>
            <w:tcW w:w="459"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20</w:t>
            </w:r>
          </w:p>
        </w:tc>
        <w:tc>
          <w:tcPr>
            <w:tcW w:w="724"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55.000,00 €</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b/>
                <w:sz w:val="18"/>
                <w:szCs w:val="18"/>
              </w:rPr>
            </w:pPr>
            <w:r w:rsidRPr="007C4670">
              <w:rPr>
                <w:rFonts w:asciiTheme="majorHAnsi" w:eastAsia="Times New Roman" w:hAnsiTheme="majorHAnsi" w:cs="Arial"/>
                <w:b/>
                <w:sz w:val="18"/>
                <w:szCs w:val="18"/>
              </w:rPr>
              <w:t>TOTAL COFIN.</w:t>
            </w:r>
          </w:p>
        </w:tc>
        <w:tc>
          <w:tcPr>
            <w:tcW w:w="623" w:type="pct"/>
            <w:vAlign w:val="bottom"/>
            <w:hideMark/>
          </w:tcPr>
          <w:p w:rsidR="007469A0" w:rsidRPr="007C4670" w:rsidRDefault="007469A0" w:rsidP="00725012">
            <w:pPr>
              <w:rPr>
                <w:rFonts w:asciiTheme="majorHAnsi" w:eastAsia="Times New Roman" w:hAnsiTheme="majorHAnsi" w:cs="Arial"/>
                <w:sz w:val="18"/>
                <w:szCs w:val="18"/>
              </w:rPr>
            </w:pPr>
          </w:p>
        </w:tc>
        <w:tc>
          <w:tcPr>
            <w:tcW w:w="1187" w:type="pct"/>
            <w:vAlign w:val="bottom"/>
            <w:hideMark/>
          </w:tcPr>
          <w:p w:rsidR="007469A0" w:rsidRPr="007C4670" w:rsidRDefault="007469A0" w:rsidP="00725012">
            <w:pPr>
              <w:rPr>
                <w:rFonts w:asciiTheme="majorHAnsi" w:eastAsia="Times New Roman" w:hAnsiTheme="majorHAnsi" w:cs="Arial"/>
                <w:sz w:val="18"/>
                <w:szCs w:val="18"/>
              </w:rPr>
            </w:pPr>
          </w:p>
        </w:tc>
        <w:tc>
          <w:tcPr>
            <w:tcW w:w="608" w:type="pct"/>
            <w:vAlign w:val="bottom"/>
            <w:hideMark/>
          </w:tcPr>
          <w:p w:rsidR="007469A0" w:rsidRPr="007C4670" w:rsidRDefault="007469A0" w:rsidP="00725012">
            <w:pPr>
              <w:rPr>
                <w:rFonts w:asciiTheme="majorHAnsi" w:eastAsia="Times New Roman" w:hAnsiTheme="majorHAnsi" w:cs="Arial"/>
                <w:sz w:val="18"/>
                <w:szCs w:val="18"/>
              </w:rPr>
            </w:pP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jc w:val="right"/>
              <w:rPr>
                <w:rFonts w:asciiTheme="majorHAnsi" w:eastAsia="Times New Roman" w:hAnsiTheme="majorHAnsi" w:cs="Arial"/>
                <w:b/>
                <w:sz w:val="18"/>
                <w:szCs w:val="18"/>
              </w:rPr>
            </w:pPr>
            <w:r w:rsidRPr="007C4670">
              <w:rPr>
                <w:rFonts w:asciiTheme="majorHAnsi" w:eastAsia="Times New Roman" w:hAnsiTheme="majorHAnsi" w:cs="Arial"/>
                <w:b/>
                <w:sz w:val="18"/>
                <w:szCs w:val="18"/>
              </w:rPr>
              <w:t>158.000,00€</w:t>
            </w: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p>
        </w:tc>
        <w:tc>
          <w:tcPr>
            <w:tcW w:w="623" w:type="pct"/>
            <w:vAlign w:val="bottom"/>
            <w:hideMark/>
          </w:tcPr>
          <w:p w:rsidR="007469A0" w:rsidRPr="007C4670" w:rsidRDefault="007469A0" w:rsidP="00725012">
            <w:pPr>
              <w:rPr>
                <w:rFonts w:asciiTheme="majorHAnsi" w:eastAsia="Times New Roman" w:hAnsiTheme="majorHAnsi" w:cs="Arial"/>
                <w:sz w:val="18"/>
                <w:szCs w:val="18"/>
              </w:rPr>
            </w:pPr>
          </w:p>
        </w:tc>
        <w:tc>
          <w:tcPr>
            <w:tcW w:w="1187" w:type="pct"/>
            <w:vAlign w:val="bottom"/>
            <w:hideMark/>
          </w:tcPr>
          <w:p w:rsidR="007469A0" w:rsidRPr="007C4670" w:rsidRDefault="007469A0" w:rsidP="00725012">
            <w:pPr>
              <w:rPr>
                <w:rFonts w:asciiTheme="majorHAnsi" w:eastAsia="Times New Roman" w:hAnsiTheme="majorHAnsi" w:cs="Arial"/>
                <w:sz w:val="18"/>
                <w:szCs w:val="18"/>
              </w:rPr>
            </w:pPr>
          </w:p>
        </w:tc>
        <w:tc>
          <w:tcPr>
            <w:tcW w:w="608" w:type="pct"/>
            <w:vAlign w:val="bottom"/>
            <w:hideMark/>
          </w:tcPr>
          <w:p w:rsidR="007469A0" w:rsidRPr="007C4670" w:rsidRDefault="007469A0" w:rsidP="00725012">
            <w:pPr>
              <w:rPr>
                <w:rFonts w:asciiTheme="majorHAnsi" w:eastAsia="Times New Roman" w:hAnsiTheme="majorHAnsi" w:cs="Arial"/>
                <w:sz w:val="18"/>
                <w:szCs w:val="18"/>
              </w:rPr>
            </w:pP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b/>
                <w:bCs/>
                <w:sz w:val="18"/>
                <w:szCs w:val="18"/>
              </w:rPr>
              <w:t>2019</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b/>
                <w:bCs/>
                <w:sz w:val="18"/>
                <w:szCs w:val="18"/>
              </w:rPr>
              <w:t>2020</w:t>
            </w:r>
          </w:p>
        </w:tc>
        <w:tc>
          <w:tcPr>
            <w:tcW w:w="608"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b/>
                <w:bCs/>
                <w:sz w:val="18"/>
                <w:szCs w:val="18"/>
              </w:rPr>
              <w:t>2021</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1 Escuela-Taller</w:t>
            </w: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0,00 €</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27.500,00 €</w:t>
            </w:r>
          </w:p>
        </w:tc>
        <w:tc>
          <w:tcPr>
            <w:tcW w:w="608"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27.500,00 €</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2 PIFE</w:t>
            </w: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2.800,00 €</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12.200,00 €</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3 PIFE</w:t>
            </w: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2.800,00 €</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12.200,00 €</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4 PIFE</w:t>
            </w: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18.000,00 €</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0,00 €</w:t>
            </w:r>
          </w:p>
        </w:tc>
        <w:tc>
          <w:tcPr>
            <w:tcW w:w="608" w:type="pct"/>
            <w:vAlign w:val="bottom"/>
            <w:hideMark/>
          </w:tcPr>
          <w:p w:rsidR="007469A0" w:rsidRPr="007C4670" w:rsidRDefault="007469A0" w:rsidP="00725012">
            <w:pPr>
              <w:rPr>
                <w:rFonts w:asciiTheme="majorHAnsi" w:eastAsia="Times New Roman" w:hAnsiTheme="majorHAnsi" w:cs="Arial"/>
                <w:sz w:val="18"/>
                <w:szCs w:val="18"/>
              </w:rPr>
            </w:pP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r w:rsidRPr="007C4670">
              <w:rPr>
                <w:rFonts w:asciiTheme="majorHAnsi" w:eastAsia="Times New Roman" w:hAnsiTheme="majorHAnsi" w:cs="Arial"/>
                <w:sz w:val="18"/>
                <w:szCs w:val="18"/>
              </w:rPr>
              <w:t>5 Escuela-Taller</w:t>
            </w: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0,00 €</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27.500,00 €</w:t>
            </w:r>
          </w:p>
        </w:tc>
        <w:tc>
          <w:tcPr>
            <w:tcW w:w="608"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sz w:val="18"/>
                <w:szCs w:val="18"/>
              </w:rPr>
              <w:t>27.500,00 €</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r w:rsidR="007469A0" w:rsidRPr="007C4670" w:rsidTr="00725012">
        <w:trPr>
          <w:trHeight w:val="255"/>
          <w:tblCellSpacing w:w="0" w:type="dxa"/>
        </w:trPr>
        <w:tc>
          <w:tcPr>
            <w:tcW w:w="717" w:type="pct"/>
            <w:vAlign w:val="bottom"/>
            <w:hideMark/>
          </w:tcPr>
          <w:p w:rsidR="007469A0" w:rsidRPr="007C4670" w:rsidRDefault="007469A0" w:rsidP="00725012">
            <w:pPr>
              <w:rPr>
                <w:rFonts w:asciiTheme="majorHAnsi" w:eastAsia="Times New Roman" w:hAnsiTheme="majorHAnsi" w:cs="Arial"/>
                <w:sz w:val="18"/>
                <w:szCs w:val="18"/>
              </w:rPr>
            </w:pPr>
          </w:p>
        </w:tc>
        <w:tc>
          <w:tcPr>
            <w:tcW w:w="623"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b/>
                <w:bCs/>
                <w:sz w:val="18"/>
                <w:szCs w:val="18"/>
              </w:rPr>
              <w:t>23.600,00 €</w:t>
            </w:r>
          </w:p>
        </w:tc>
        <w:tc>
          <w:tcPr>
            <w:tcW w:w="1187"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b/>
                <w:bCs/>
                <w:sz w:val="18"/>
                <w:szCs w:val="18"/>
              </w:rPr>
              <w:t>79.400,00 €</w:t>
            </w:r>
          </w:p>
        </w:tc>
        <w:tc>
          <w:tcPr>
            <w:tcW w:w="608" w:type="pct"/>
            <w:vAlign w:val="bottom"/>
            <w:hideMark/>
          </w:tcPr>
          <w:p w:rsidR="007469A0" w:rsidRPr="007C4670" w:rsidRDefault="007469A0" w:rsidP="00725012">
            <w:pPr>
              <w:jc w:val="right"/>
              <w:rPr>
                <w:rFonts w:asciiTheme="majorHAnsi" w:eastAsia="Times New Roman" w:hAnsiTheme="majorHAnsi" w:cs="Arial"/>
                <w:sz w:val="18"/>
                <w:szCs w:val="18"/>
              </w:rPr>
            </w:pPr>
            <w:r w:rsidRPr="007C4670">
              <w:rPr>
                <w:rFonts w:asciiTheme="majorHAnsi" w:eastAsia="Times New Roman" w:hAnsiTheme="majorHAnsi" w:cs="Arial"/>
                <w:b/>
                <w:bCs/>
                <w:sz w:val="18"/>
                <w:szCs w:val="18"/>
              </w:rPr>
              <w:t>55.000,00 €</w:t>
            </w:r>
          </w:p>
        </w:tc>
        <w:tc>
          <w:tcPr>
            <w:tcW w:w="683" w:type="pct"/>
            <w:vAlign w:val="bottom"/>
            <w:hideMark/>
          </w:tcPr>
          <w:p w:rsidR="007469A0" w:rsidRPr="007C4670" w:rsidRDefault="007469A0" w:rsidP="00725012">
            <w:pPr>
              <w:rPr>
                <w:rFonts w:asciiTheme="majorHAnsi" w:eastAsia="Times New Roman" w:hAnsiTheme="majorHAnsi" w:cs="Arial"/>
                <w:sz w:val="18"/>
                <w:szCs w:val="18"/>
              </w:rPr>
            </w:pPr>
          </w:p>
        </w:tc>
        <w:tc>
          <w:tcPr>
            <w:tcW w:w="459" w:type="pct"/>
            <w:vAlign w:val="bottom"/>
            <w:hideMark/>
          </w:tcPr>
          <w:p w:rsidR="007469A0" w:rsidRPr="007C4670" w:rsidRDefault="007469A0" w:rsidP="00725012">
            <w:pPr>
              <w:rPr>
                <w:rFonts w:asciiTheme="majorHAnsi" w:eastAsia="Times New Roman" w:hAnsiTheme="majorHAnsi" w:cs="Arial"/>
                <w:sz w:val="18"/>
                <w:szCs w:val="18"/>
              </w:rPr>
            </w:pPr>
          </w:p>
        </w:tc>
        <w:tc>
          <w:tcPr>
            <w:tcW w:w="724" w:type="pct"/>
            <w:vAlign w:val="bottom"/>
            <w:hideMark/>
          </w:tcPr>
          <w:p w:rsidR="007469A0" w:rsidRPr="007C4670" w:rsidRDefault="007469A0" w:rsidP="00725012">
            <w:pPr>
              <w:rPr>
                <w:rFonts w:asciiTheme="majorHAnsi" w:eastAsia="Times New Roman" w:hAnsiTheme="majorHAnsi" w:cs="Arial"/>
                <w:sz w:val="18"/>
                <w:szCs w:val="18"/>
              </w:rPr>
            </w:pPr>
          </w:p>
        </w:tc>
      </w:tr>
    </w:tbl>
    <w:p w:rsidR="007469A0" w:rsidRDefault="007469A0" w:rsidP="00C7518E">
      <w:pPr>
        <w:jc w:val="both"/>
      </w:pPr>
    </w:p>
    <w:p w:rsidR="007469A0" w:rsidRPr="006154D6" w:rsidRDefault="007469A0" w:rsidP="006154D6">
      <w:r>
        <w:br w:type="page"/>
      </w:r>
      <w:r w:rsidRPr="005E2D8B">
        <w:rPr>
          <w:rFonts w:ascii="Verdana" w:hAnsi="Verdana"/>
          <w:sz w:val="20"/>
          <w:szCs w:val="20"/>
        </w:rPr>
        <w:lastRenderedPageBreak/>
        <w:t>A su vez hemos acordado una serie de acciones formativas con el SNE que se están desarrollando y otras todavía pendientes. Estas deben ser habladas de una en una con el Servicio de Formación o con la Agencia del SNE. Adjunto acciones y fechas:</w:t>
      </w:r>
    </w:p>
    <w:tbl>
      <w:tblPr>
        <w:tblW w:w="8559" w:type="dxa"/>
        <w:tblInd w:w="55" w:type="dxa"/>
        <w:tblCellMar>
          <w:left w:w="70" w:type="dxa"/>
          <w:right w:w="70" w:type="dxa"/>
        </w:tblCellMar>
        <w:tblLook w:val="04A0"/>
      </w:tblPr>
      <w:tblGrid>
        <w:gridCol w:w="512"/>
        <w:gridCol w:w="2085"/>
        <w:gridCol w:w="1365"/>
        <w:gridCol w:w="1014"/>
        <w:gridCol w:w="995"/>
        <w:gridCol w:w="1302"/>
        <w:gridCol w:w="1286"/>
      </w:tblGrid>
      <w:tr w:rsidR="007469A0" w:rsidRPr="00A16576" w:rsidTr="00725012">
        <w:trPr>
          <w:trHeight w:val="605"/>
        </w:trPr>
        <w:tc>
          <w:tcPr>
            <w:tcW w:w="5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sidRPr="00A16576">
              <w:rPr>
                <w:rFonts w:ascii="Calibri" w:eastAsia="Times New Roman" w:hAnsi="Calibri" w:cs="Times New Roman"/>
                <w:b/>
                <w:bCs/>
                <w:color w:val="000000"/>
              </w:rPr>
              <w:t>Nº</w:t>
            </w:r>
          </w:p>
        </w:tc>
        <w:tc>
          <w:tcPr>
            <w:tcW w:w="2085" w:type="dxa"/>
            <w:tcBorders>
              <w:top w:val="single" w:sz="8" w:space="0" w:color="auto"/>
              <w:left w:val="nil"/>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sidRPr="00A16576">
              <w:rPr>
                <w:rFonts w:ascii="Calibri" w:eastAsia="Times New Roman" w:hAnsi="Calibri" w:cs="Times New Roman"/>
                <w:b/>
                <w:bCs/>
                <w:color w:val="000000"/>
              </w:rPr>
              <w:t xml:space="preserve">Acción </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sidRPr="00A16576">
              <w:rPr>
                <w:rFonts w:ascii="Calibri" w:eastAsia="Times New Roman" w:hAnsi="Calibri" w:cs="Times New Roman"/>
                <w:b/>
                <w:bCs/>
                <w:color w:val="000000"/>
              </w:rPr>
              <w:t>Colectivo</w:t>
            </w:r>
          </w:p>
        </w:tc>
        <w:tc>
          <w:tcPr>
            <w:tcW w:w="1014" w:type="dxa"/>
            <w:tcBorders>
              <w:top w:val="single" w:sz="8" w:space="0" w:color="auto"/>
              <w:left w:val="nil"/>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sidRPr="00A16576">
              <w:rPr>
                <w:rFonts w:ascii="Calibri" w:eastAsia="Times New Roman" w:hAnsi="Calibri" w:cs="Times New Roman"/>
                <w:b/>
                <w:bCs/>
                <w:color w:val="000000"/>
              </w:rPr>
              <w:t>Nº de Horas</w:t>
            </w:r>
          </w:p>
        </w:tc>
        <w:tc>
          <w:tcPr>
            <w:tcW w:w="995" w:type="dxa"/>
            <w:tcBorders>
              <w:top w:val="single" w:sz="8" w:space="0" w:color="auto"/>
              <w:left w:val="nil"/>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sidRPr="00A16576">
              <w:rPr>
                <w:rFonts w:ascii="Calibri" w:eastAsia="Times New Roman" w:hAnsi="Calibri" w:cs="Times New Roman"/>
                <w:b/>
                <w:bCs/>
                <w:color w:val="000000"/>
              </w:rPr>
              <w:t>Nº de alumnos</w:t>
            </w:r>
          </w:p>
        </w:tc>
        <w:tc>
          <w:tcPr>
            <w:tcW w:w="1302" w:type="dxa"/>
            <w:tcBorders>
              <w:top w:val="single" w:sz="8" w:space="0" w:color="auto"/>
              <w:left w:val="nil"/>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sidRPr="00A16576">
              <w:rPr>
                <w:rFonts w:ascii="Calibri" w:eastAsia="Times New Roman" w:hAnsi="Calibri" w:cs="Times New Roman"/>
                <w:b/>
                <w:bCs/>
                <w:color w:val="000000"/>
              </w:rPr>
              <w:t>Entidad</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rsidR="007469A0" w:rsidRPr="00A16576" w:rsidRDefault="007469A0" w:rsidP="00725012">
            <w:pPr>
              <w:rPr>
                <w:rFonts w:ascii="Calibri" w:eastAsia="Times New Roman" w:hAnsi="Calibri" w:cs="Times New Roman"/>
                <w:b/>
                <w:bCs/>
                <w:color w:val="000000"/>
              </w:rPr>
            </w:pPr>
            <w:r>
              <w:rPr>
                <w:rFonts w:ascii="Calibri" w:eastAsia="Times New Roman" w:hAnsi="Calibri" w:cs="Times New Roman"/>
                <w:b/>
                <w:bCs/>
                <w:color w:val="000000"/>
              </w:rPr>
              <w:t>Fechas</w:t>
            </w:r>
          </w:p>
        </w:tc>
      </w:tr>
      <w:tr w:rsidR="007469A0" w:rsidRPr="00A16576" w:rsidTr="00725012">
        <w:trPr>
          <w:trHeight w:val="60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w:t>
            </w:r>
          </w:p>
        </w:tc>
        <w:tc>
          <w:tcPr>
            <w:tcW w:w="208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Agricultura Ecológica</w:t>
            </w:r>
            <w:r w:rsidRPr="00E1733C">
              <w:rPr>
                <w:rFonts w:ascii="Calibri" w:eastAsia="Times New Roman" w:hAnsi="Calibri" w:cs="Times New Roman"/>
                <w:color w:val="000000"/>
                <w:sz w:val="20"/>
                <w:szCs w:val="20"/>
                <w:vertAlign w:val="superscript"/>
              </w:rPr>
              <w:t>1</w:t>
            </w: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 xml:space="preserve">Emp. Soc. </w:t>
            </w:r>
          </w:p>
        </w:tc>
        <w:tc>
          <w:tcPr>
            <w:tcW w:w="1014"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60</w:t>
            </w:r>
          </w:p>
        </w:tc>
        <w:tc>
          <w:tcPr>
            <w:tcW w:w="99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Fund. Ilundain</w:t>
            </w:r>
          </w:p>
        </w:tc>
        <w:tc>
          <w:tcPr>
            <w:tcW w:w="1286"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08/04/2019-26/04/2019</w:t>
            </w:r>
          </w:p>
        </w:tc>
      </w:tr>
      <w:tr w:rsidR="007469A0" w:rsidRPr="00A16576" w:rsidTr="00725012">
        <w:trPr>
          <w:trHeight w:val="33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2</w:t>
            </w:r>
          </w:p>
        </w:tc>
        <w:tc>
          <w:tcPr>
            <w:tcW w:w="208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Agricultura Ecológica</w:t>
            </w: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Emp. Soc.</w:t>
            </w:r>
          </w:p>
        </w:tc>
        <w:tc>
          <w:tcPr>
            <w:tcW w:w="1014"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60</w:t>
            </w:r>
          </w:p>
        </w:tc>
        <w:tc>
          <w:tcPr>
            <w:tcW w:w="99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13</w:t>
            </w:r>
          </w:p>
        </w:tc>
        <w:tc>
          <w:tcPr>
            <w:tcW w:w="1302"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Fun</w:t>
            </w:r>
          </w:p>
        </w:tc>
        <w:tc>
          <w:tcPr>
            <w:tcW w:w="1286"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06/05/2019-20/05/2019</w:t>
            </w:r>
          </w:p>
        </w:tc>
      </w:tr>
      <w:tr w:rsidR="007469A0" w:rsidRPr="00A16576" w:rsidTr="00725012">
        <w:trPr>
          <w:trHeight w:val="35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3</w:t>
            </w:r>
          </w:p>
        </w:tc>
        <w:tc>
          <w:tcPr>
            <w:tcW w:w="208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Básico Albañilería</w:t>
            </w:r>
            <w:r w:rsidRPr="00E1733C">
              <w:rPr>
                <w:rFonts w:ascii="Calibri" w:eastAsia="Times New Roman" w:hAnsi="Calibri" w:cs="Times New Roman"/>
                <w:color w:val="000000"/>
                <w:sz w:val="20"/>
                <w:szCs w:val="20"/>
                <w:vertAlign w:val="superscript"/>
              </w:rPr>
              <w:t>1</w:t>
            </w: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 xml:space="preserve">Emp. Soc. </w:t>
            </w:r>
          </w:p>
        </w:tc>
        <w:tc>
          <w:tcPr>
            <w:tcW w:w="1014"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60</w:t>
            </w:r>
          </w:p>
        </w:tc>
        <w:tc>
          <w:tcPr>
            <w:tcW w:w="99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F.L.C.</w:t>
            </w:r>
          </w:p>
        </w:tc>
        <w:tc>
          <w:tcPr>
            <w:tcW w:w="1286"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25/03/2019-09/04/2019</w:t>
            </w:r>
          </w:p>
        </w:tc>
      </w:tr>
      <w:tr w:rsidR="007469A0" w:rsidRPr="00A16576" w:rsidTr="00725012">
        <w:trPr>
          <w:trHeight w:val="33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4</w:t>
            </w:r>
          </w:p>
        </w:tc>
        <w:tc>
          <w:tcPr>
            <w:tcW w:w="208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Básico Albañilería</w:t>
            </w: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Emp. Soc.</w:t>
            </w:r>
          </w:p>
        </w:tc>
        <w:tc>
          <w:tcPr>
            <w:tcW w:w="1014"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60</w:t>
            </w:r>
          </w:p>
        </w:tc>
        <w:tc>
          <w:tcPr>
            <w:tcW w:w="99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13</w:t>
            </w:r>
          </w:p>
        </w:tc>
        <w:tc>
          <w:tcPr>
            <w:tcW w:w="1302"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FLC</w:t>
            </w:r>
          </w:p>
        </w:tc>
        <w:tc>
          <w:tcPr>
            <w:tcW w:w="1286"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10/04/2019-30/04/2019</w:t>
            </w:r>
          </w:p>
        </w:tc>
      </w:tr>
      <w:tr w:rsidR="007469A0" w:rsidRPr="00A16576" w:rsidTr="00725012">
        <w:trPr>
          <w:trHeight w:val="35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5</w:t>
            </w:r>
          </w:p>
        </w:tc>
        <w:tc>
          <w:tcPr>
            <w:tcW w:w="208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Refor interior edificio</w:t>
            </w:r>
            <w:r w:rsidRPr="00E1733C">
              <w:rPr>
                <w:rFonts w:ascii="Calibri" w:eastAsia="Times New Roman" w:hAnsi="Calibri" w:cs="Times New Roman"/>
                <w:color w:val="000000"/>
                <w:sz w:val="20"/>
                <w:szCs w:val="20"/>
                <w:vertAlign w:val="superscript"/>
              </w:rPr>
              <w:t>2</w:t>
            </w: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ERSISI</w:t>
            </w:r>
          </w:p>
        </w:tc>
        <w:tc>
          <w:tcPr>
            <w:tcW w:w="1014"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150</w:t>
            </w:r>
          </w:p>
        </w:tc>
        <w:tc>
          <w:tcPr>
            <w:tcW w:w="99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F.L.C.</w:t>
            </w:r>
          </w:p>
        </w:tc>
        <w:tc>
          <w:tcPr>
            <w:tcW w:w="1286"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6/05/2019</w:t>
            </w:r>
          </w:p>
        </w:tc>
      </w:tr>
      <w:tr w:rsidR="007469A0" w:rsidRPr="00A16576" w:rsidTr="00725012">
        <w:trPr>
          <w:trHeight w:val="354"/>
        </w:trPr>
        <w:tc>
          <w:tcPr>
            <w:tcW w:w="512" w:type="dxa"/>
            <w:tcBorders>
              <w:top w:val="nil"/>
              <w:left w:val="single" w:sz="8" w:space="0" w:color="auto"/>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6</w:t>
            </w:r>
          </w:p>
        </w:tc>
        <w:tc>
          <w:tcPr>
            <w:tcW w:w="208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Limpieza doméstica</w:t>
            </w:r>
            <w:r w:rsidRPr="00E1733C">
              <w:rPr>
                <w:rFonts w:ascii="Calibri" w:eastAsia="Times New Roman" w:hAnsi="Calibri" w:cs="Times New Roman"/>
                <w:color w:val="000000"/>
                <w:sz w:val="20"/>
                <w:szCs w:val="20"/>
                <w:vertAlign w:val="superscript"/>
              </w:rPr>
              <w:t>3</w:t>
            </w:r>
          </w:p>
        </w:tc>
        <w:tc>
          <w:tcPr>
            <w:tcW w:w="136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SS.SS.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30</w:t>
            </w:r>
          </w:p>
        </w:tc>
        <w:tc>
          <w:tcPr>
            <w:tcW w:w="99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 </w:t>
            </w:r>
          </w:p>
        </w:tc>
        <w:tc>
          <w:tcPr>
            <w:tcW w:w="1286"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Disposición SS.SS.</w:t>
            </w:r>
          </w:p>
        </w:tc>
      </w:tr>
      <w:tr w:rsidR="007469A0" w:rsidRPr="00A16576" w:rsidTr="00725012">
        <w:trPr>
          <w:trHeight w:val="605"/>
        </w:trPr>
        <w:tc>
          <w:tcPr>
            <w:tcW w:w="512" w:type="dxa"/>
            <w:tcBorders>
              <w:top w:val="nil"/>
              <w:left w:val="single" w:sz="8" w:space="0" w:color="auto"/>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7</w:t>
            </w:r>
          </w:p>
        </w:tc>
        <w:tc>
          <w:tcPr>
            <w:tcW w:w="208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“Her. ser y estar mejor</w:t>
            </w:r>
            <w:r w:rsidRPr="00E1733C">
              <w:rPr>
                <w:rFonts w:ascii="Calibri" w:eastAsia="Times New Roman" w:hAnsi="Calibri" w:cs="Times New Roman"/>
                <w:color w:val="000000"/>
              </w:rPr>
              <w:t>”</w:t>
            </w:r>
          </w:p>
        </w:tc>
        <w:tc>
          <w:tcPr>
            <w:tcW w:w="136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SS.SS.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20</w:t>
            </w:r>
          </w:p>
        </w:tc>
        <w:tc>
          <w:tcPr>
            <w:tcW w:w="99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Ayuntamiento</w:t>
            </w:r>
          </w:p>
        </w:tc>
        <w:tc>
          <w:tcPr>
            <w:tcW w:w="1286"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Disposición SS.SS</w:t>
            </w:r>
          </w:p>
        </w:tc>
      </w:tr>
      <w:tr w:rsidR="007469A0" w:rsidRPr="00A16576" w:rsidTr="00725012">
        <w:trPr>
          <w:trHeight w:val="334"/>
        </w:trPr>
        <w:tc>
          <w:tcPr>
            <w:tcW w:w="512" w:type="dxa"/>
            <w:tcBorders>
              <w:top w:val="nil"/>
              <w:left w:val="single" w:sz="8" w:space="0" w:color="auto"/>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8</w:t>
            </w:r>
          </w:p>
        </w:tc>
        <w:tc>
          <w:tcPr>
            <w:tcW w:w="208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Soldadura Básica</w:t>
            </w:r>
            <w:r w:rsidRPr="00E1733C">
              <w:rPr>
                <w:rFonts w:ascii="Calibri" w:eastAsia="Times New Roman" w:hAnsi="Calibri" w:cs="Times New Roman"/>
                <w:color w:val="000000"/>
                <w:sz w:val="20"/>
                <w:szCs w:val="20"/>
                <w:vertAlign w:val="superscript"/>
              </w:rPr>
              <w:t>2</w:t>
            </w:r>
          </w:p>
        </w:tc>
        <w:tc>
          <w:tcPr>
            <w:tcW w:w="136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SS.SS.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50</w:t>
            </w:r>
          </w:p>
        </w:tc>
        <w:tc>
          <w:tcPr>
            <w:tcW w:w="99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rPr>
            </w:pPr>
            <w:r w:rsidRPr="00E1733C">
              <w:rPr>
                <w:rFonts w:ascii="Calibri" w:eastAsia="Times New Roman" w:hAnsi="Calibri" w:cs="Times New Roman"/>
                <w:color w:val="000000"/>
              </w:rPr>
              <w:t> </w:t>
            </w:r>
          </w:p>
        </w:tc>
        <w:tc>
          <w:tcPr>
            <w:tcW w:w="1286"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 0,00€</w:t>
            </w:r>
          </w:p>
        </w:tc>
      </w:tr>
      <w:tr w:rsidR="007469A0" w:rsidRPr="00A16576" w:rsidTr="00725012">
        <w:trPr>
          <w:trHeight w:val="354"/>
        </w:trPr>
        <w:tc>
          <w:tcPr>
            <w:tcW w:w="512" w:type="dxa"/>
            <w:tcBorders>
              <w:top w:val="nil"/>
              <w:left w:val="single" w:sz="8" w:space="0" w:color="auto"/>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9</w:t>
            </w:r>
          </w:p>
        </w:tc>
        <w:tc>
          <w:tcPr>
            <w:tcW w:w="208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3 Acciones de Comercio</w:t>
            </w:r>
          </w:p>
        </w:tc>
        <w:tc>
          <w:tcPr>
            <w:tcW w:w="136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 xml:space="preserve">Comercio </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30</w:t>
            </w:r>
          </w:p>
        </w:tc>
        <w:tc>
          <w:tcPr>
            <w:tcW w:w="99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30</w:t>
            </w:r>
          </w:p>
        </w:tc>
        <w:tc>
          <w:tcPr>
            <w:tcW w:w="1302"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Cámara Com.</w:t>
            </w:r>
          </w:p>
        </w:tc>
        <w:tc>
          <w:tcPr>
            <w:tcW w:w="1286"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p>
        </w:tc>
      </w:tr>
      <w:tr w:rsidR="007469A0" w:rsidRPr="00A16576" w:rsidTr="00725012">
        <w:trPr>
          <w:trHeight w:val="605"/>
        </w:trPr>
        <w:tc>
          <w:tcPr>
            <w:tcW w:w="512" w:type="dxa"/>
            <w:tcBorders>
              <w:top w:val="nil"/>
              <w:left w:val="single" w:sz="8" w:space="0" w:color="auto"/>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10</w:t>
            </w:r>
          </w:p>
        </w:tc>
        <w:tc>
          <w:tcPr>
            <w:tcW w:w="208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vertAlign w:val="superscript"/>
              </w:rPr>
            </w:pPr>
            <w:r w:rsidRPr="00E1733C">
              <w:rPr>
                <w:rFonts w:ascii="Calibri" w:eastAsia="Times New Roman" w:hAnsi="Calibri" w:cs="Times New Roman"/>
                <w:color w:val="000000"/>
                <w:sz w:val="20"/>
                <w:szCs w:val="20"/>
              </w:rPr>
              <w:t>Peón Agrícola</w:t>
            </w:r>
            <w:r w:rsidRPr="00E1733C">
              <w:rPr>
                <w:rFonts w:ascii="Calibri" w:eastAsia="Times New Roman" w:hAnsi="Calibri" w:cs="Times New Roman"/>
                <w:color w:val="000000"/>
                <w:sz w:val="20"/>
                <w:szCs w:val="20"/>
                <w:vertAlign w:val="superscript"/>
              </w:rPr>
              <w:t>3</w:t>
            </w:r>
          </w:p>
        </w:tc>
        <w:tc>
          <w:tcPr>
            <w:tcW w:w="136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Desempleados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100</w:t>
            </w:r>
          </w:p>
        </w:tc>
        <w:tc>
          <w:tcPr>
            <w:tcW w:w="995"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 </w:t>
            </w:r>
          </w:p>
        </w:tc>
        <w:tc>
          <w:tcPr>
            <w:tcW w:w="1286"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0,00€ </w:t>
            </w:r>
          </w:p>
        </w:tc>
      </w:tr>
      <w:tr w:rsidR="007469A0" w:rsidRPr="00A16576" w:rsidTr="00725012">
        <w:trPr>
          <w:trHeight w:val="313"/>
        </w:trPr>
        <w:tc>
          <w:tcPr>
            <w:tcW w:w="512"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11</w:t>
            </w:r>
          </w:p>
        </w:tc>
        <w:tc>
          <w:tcPr>
            <w:tcW w:w="2085"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Limpieza espacios abiertos e instalaciones industriales</w:t>
            </w:r>
            <w:r w:rsidRPr="00E1733C">
              <w:rPr>
                <w:rFonts w:ascii="Calibri" w:eastAsia="Times New Roman" w:hAnsi="Calibri" w:cs="Times New Roman"/>
                <w:color w:val="000000"/>
                <w:sz w:val="20"/>
                <w:szCs w:val="20"/>
                <w:vertAlign w:val="superscript"/>
              </w:rPr>
              <w:t xml:space="preserve">4 </w:t>
            </w:r>
          </w:p>
        </w:tc>
        <w:tc>
          <w:tcPr>
            <w:tcW w:w="1365" w:type="dxa"/>
            <w:tcBorders>
              <w:top w:val="nil"/>
              <w:left w:val="nil"/>
              <w:bottom w:val="nil"/>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Desemple.</w:t>
            </w:r>
          </w:p>
        </w:tc>
        <w:tc>
          <w:tcPr>
            <w:tcW w:w="1014"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210</w:t>
            </w:r>
          </w:p>
        </w:tc>
        <w:tc>
          <w:tcPr>
            <w:tcW w:w="995"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Grupo Rubio</w:t>
            </w:r>
          </w:p>
        </w:tc>
        <w:tc>
          <w:tcPr>
            <w:tcW w:w="128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10/04/2019</w:t>
            </w:r>
          </w:p>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5/06/2019</w:t>
            </w:r>
          </w:p>
        </w:tc>
      </w:tr>
      <w:tr w:rsidR="007469A0" w:rsidRPr="00A16576" w:rsidTr="00725012">
        <w:trPr>
          <w:trHeight w:val="459"/>
        </w:trPr>
        <w:tc>
          <w:tcPr>
            <w:tcW w:w="512" w:type="dxa"/>
            <w:vMerge/>
            <w:tcBorders>
              <w:top w:val="nil"/>
              <w:left w:val="single" w:sz="8" w:space="0" w:color="auto"/>
              <w:bottom w:val="single" w:sz="8" w:space="0" w:color="000000"/>
              <w:right w:val="single" w:sz="8" w:space="0" w:color="auto"/>
            </w:tcBorders>
            <w:vAlign w:val="center"/>
            <w:hideMark/>
          </w:tcPr>
          <w:p w:rsidR="007469A0" w:rsidRPr="00E1733C" w:rsidRDefault="007469A0" w:rsidP="00725012">
            <w:pPr>
              <w:rPr>
                <w:rFonts w:ascii="Calibri" w:eastAsia="Times New Roman" w:hAnsi="Calibri" w:cs="Times New Roman"/>
                <w:color w:val="000000"/>
                <w:sz w:val="20"/>
                <w:szCs w:val="20"/>
              </w:rPr>
            </w:pPr>
          </w:p>
        </w:tc>
        <w:tc>
          <w:tcPr>
            <w:tcW w:w="2085" w:type="dxa"/>
            <w:vMerge/>
            <w:tcBorders>
              <w:top w:val="nil"/>
              <w:left w:val="single" w:sz="8" w:space="0" w:color="auto"/>
              <w:bottom w:val="single" w:sz="8" w:space="0" w:color="000000"/>
              <w:right w:val="single" w:sz="8" w:space="0" w:color="auto"/>
            </w:tcBorders>
            <w:vAlign w:val="center"/>
            <w:hideMark/>
          </w:tcPr>
          <w:p w:rsidR="007469A0" w:rsidRPr="00E1733C" w:rsidRDefault="007469A0" w:rsidP="00725012">
            <w:pPr>
              <w:rPr>
                <w:rFonts w:ascii="Calibri" w:eastAsia="Times New Roman" w:hAnsi="Calibri" w:cs="Times New Roman"/>
                <w:color w:val="000000"/>
                <w:sz w:val="20"/>
                <w:szCs w:val="20"/>
              </w:rPr>
            </w:pP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ERSISI</w:t>
            </w:r>
          </w:p>
        </w:tc>
        <w:tc>
          <w:tcPr>
            <w:tcW w:w="1014" w:type="dxa"/>
            <w:vMerge/>
            <w:tcBorders>
              <w:top w:val="nil"/>
              <w:left w:val="single" w:sz="8" w:space="0" w:color="auto"/>
              <w:bottom w:val="single" w:sz="8" w:space="0" w:color="000000"/>
              <w:right w:val="single" w:sz="8" w:space="0" w:color="auto"/>
            </w:tcBorders>
            <w:vAlign w:val="center"/>
            <w:hideMark/>
          </w:tcPr>
          <w:p w:rsidR="007469A0" w:rsidRPr="00E1733C" w:rsidRDefault="007469A0" w:rsidP="00725012">
            <w:pPr>
              <w:rPr>
                <w:rFonts w:ascii="Calibri" w:eastAsia="Times New Roman" w:hAnsi="Calibri" w:cs="Times New Roman"/>
                <w:color w:val="000000"/>
                <w:sz w:val="20"/>
                <w:szCs w:val="20"/>
              </w:rPr>
            </w:pPr>
          </w:p>
        </w:tc>
        <w:tc>
          <w:tcPr>
            <w:tcW w:w="995" w:type="dxa"/>
            <w:vMerge/>
            <w:tcBorders>
              <w:top w:val="nil"/>
              <w:left w:val="single" w:sz="8" w:space="0" w:color="auto"/>
              <w:bottom w:val="single" w:sz="8" w:space="0" w:color="000000"/>
              <w:right w:val="single" w:sz="8" w:space="0" w:color="auto"/>
            </w:tcBorders>
            <w:vAlign w:val="center"/>
            <w:hideMark/>
          </w:tcPr>
          <w:p w:rsidR="007469A0" w:rsidRPr="00E1733C" w:rsidRDefault="007469A0" w:rsidP="00725012">
            <w:pPr>
              <w:rPr>
                <w:rFonts w:ascii="Calibri" w:eastAsia="Times New Roman" w:hAnsi="Calibri" w:cs="Times New Roman"/>
                <w:color w:val="000000"/>
                <w:sz w:val="20"/>
                <w:szCs w:val="20"/>
              </w:rPr>
            </w:pPr>
          </w:p>
        </w:tc>
        <w:tc>
          <w:tcPr>
            <w:tcW w:w="1302" w:type="dxa"/>
            <w:vMerge/>
            <w:tcBorders>
              <w:top w:val="nil"/>
              <w:left w:val="single" w:sz="8" w:space="0" w:color="auto"/>
              <w:bottom w:val="single" w:sz="8" w:space="0" w:color="000000"/>
              <w:right w:val="single" w:sz="8" w:space="0" w:color="auto"/>
            </w:tcBorders>
            <w:vAlign w:val="center"/>
            <w:hideMark/>
          </w:tcPr>
          <w:p w:rsidR="007469A0" w:rsidRPr="00E1733C" w:rsidRDefault="007469A0" w:rsidP="00725012">
            <w:pPr>
              <w:rPr>
                <w:rFonts w:ascii="Calibri" w:eastAsia="Times New Roman" w:hAnsi="Calibri" w:cs="Times New Roman"/>
                <w:color w:val="000000"/>
                <w:sz w:val="20"/>
                <w:szCs w:val="20"/>
              </w:rPr>
            </w:pPr>
          </w:p>
        </w:tc>
        <w:tc>
          <w:tcPr>
            <w:tcW w:w="1286" w:type="dxa"/>
            <w:vMerge/>
            <w:tcBorders>
              <w:top w:val="nil"/>
              <w:left w:val="single" w:sz="8" w:space="0" w:color="auto"/>
              <w:bottom w:val="single" w:sz="8" w:space="0" w:color="000000"/>
              <w:right w:val="single" w:sz="8" w:space="0" w:color="auto"/>
            </w:tcBorders>
            <w:vAlign w:val="center"/>
            <w:hideMark/>
          </w:tcPr>
          <w:p w:rsidR="007469A0" w:rsidRPr="00E1733C" w:rsidRDefault="007469A0" w:rsidP="00725012">
            <w:pPr>
              <w:rPr>
                <w:rFonts w:ascii="Calibri" w:eastAsia="Times New Roman" w:hAnsi="Calibri" w:cs="Times New Roman"/>
                <w:color w:val="000000"/>
                <w:sz w:val="20"/>
                <w:szCs w:val="20"/>
              </w:rPr>
            </w:pPr>
          </w:p>
        </w:tc>
      </w:tr>
      <w:tr w:rsidR="007469A0" w:rsidRPr="00A16576" w:rsidTr="00725012">
        <w:trPr>
          <w:trHeight w:val="60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208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Fitosanitarios y legionelosis</w:t>
            </w:r>
          </w:p>
        </w:tc>
        <w:tc>
          <w:tcPr>
            <w:tcW w:w="136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Desempleados</w:t>
            </w:r>
          </w:p>
        </w:tc>
        <w:tc>
          <w:tcPr>
            <w:tcW w:w="1014"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50</w:t>
            </w:r>
          </w:p>
        </w:tc>
        <w:tc>
          <w:tcPr>
            <w:tcW w:w="995"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jc w:val="right"/>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12</w:t>
            </w:r>
          </w:p>
        </w:tc>
        <w:tc>
          <w:tcPr>
            <w:tcW w:w="1302" w:type="dxa"/>
            <w:tcBorders>
              <w:top w:val="nil"/>
              <w:left w:val="nil"/>
              <w:bottom w:val="single" w:sz="8" w:space="0" w:color="auto"/>
              <w:right w:val="single" w:sz="8" w:space="0" w:color="auto"/>
            </w:tcBorders>
            <w:shd w:val="clear" w:color="auto" w:fill="auto"/>
            <w:vAlign w:val="center"/>
            <w:hideMark/>
          </w:tcPr>
          <w:p w:rsidR="007469A0" w:rsidRPr="00E1733C" w:rsidRDefault="007469A0" w:rsidP="00725012">
            <w:pPr>
              <w:rPr>
                <w:rFonts w:ascii="Calibri" w:eastAsia="Times New Roman" w:hAnsi="Calibri" w:cs="Times New Roman"/>
                <w:color w:val="000000"/>
                <w:sz w:val="20"/>
                <w:szCs w:val="20"/>
              </w:rPr>
            </w:pPr>
            <w:r w:rsidRPr="00E1733C">
              <w:rPr>
                <w:rFonts w:ascii="Calibri" w:eastAsia="Times New Roman" w:hAnsi="Calibri" w:cs="Times New Roman"/>
                <w:color w:val="000000"/>
                <w:sz w:val="20"/>
                <w:szCs w:val="20"/>
              </w:rPr>
              <w:t>Grupo Rubio</w:t>
            </w:r>
          </w:p>
        </w:tc>
        <w:tc>
          <w:tcPr>
            <w:tcW w:w="1286" w:type="dxa"/>
            <w:tcBorders>
              <w:top w:val="nil"/>
              <w:left w:val="nil"/>
              <w:bottom w:val="single" w:sz="8" w:space="0" w:color="auto"/>
              <w:right w:val="single" w:sz="8" w:space="0" w:color="auto"/>
            </w:tcBorders>
            <w:shd w:val="clear" w:color="auto" w:fill="FFFFFF" w:themeFill="background1"/>
            <w:vAlign w:val="center"/>
            <w:hideMark/>
          </w:tcPr>
          <w:p w:rsidR="007469A0" w:rsidRPr="00E1733C" w:rsidRDefault="007469A0" w:rsidP="00725012">
            <w:pPr>
              <w:jc w:val="right"/>
              <w:rPr>
                <w:rFonts w:ascii="Calibri" w:eastAsia="Times New Roman" w:hAnsi="Calibri" w:cs="Times New Roman"/>
                <w:color w:val="000000"/>
                <w:sz w:val="20"/>
                <w:szCs w:val="20"/>
              </w:rPr>
            </w:pPr>
          </w:p>
        </w:tc>
      </w:tr>
    </w:tbl>
    <w:p w:rsidR="007469A0" w:rsidRDefault="007469A0" w:rsidP="007469A0">
      <w:pPr>
        <w:rPr>
          <w:rFonts w:ascii="Verdana" w:hAnsi="Verdana"/>
          <w:sz w:val="20"/>
          <w:szCs w:val="20"/>
        </w:rPr>
      </w:pPr>
    </w:p>
    <w:p w:rsidR="00C52BF0" w:rsidRDefault="00C52BF0" w:rsidP="00C52BF0">
      <w:pPr>
        <w:pStyle w:val="Prrafodelista"/>
        <w:spacing w:before="240" w:line="240" w:lineRule="auto"/>
        <w:ind w:left="0"/>
        <w:contextualSpacing w:val="0"/>
        <w:rPr>
          <w:rFonts w:ascii="Verdana" w:hAnsi="Verdana"/>
          <w:sz w:val="20"/>
          <w:szCs w:val="20"/>
        </w:rPr>
      </w:pPr>
    </w:p>
    <w:p w:rsidR="007469A0" w:rsidRDefault="007469A0">
      <w:pPr>
        <w:rPr>
          <w:rFonts w:ascii="Georgia" w:hAnsi="Georgia"/>
          <w:sz w:val="40"/>
          <w:szCs w:val="40"/>
        </w:rPr>
      </w:pPr>
      <w:r>
        <w:rPr>
          <w:rFonts w:ascii="Georgia" w:hAnsi="Georgia"/>
          <w:sz w:val="40"/>
          <w:szCs w:val="40"/>
        </w:rPr>
        <w:br w:type="page"/>
      </w:r>
    </w:p>
    <w:p w:rsidR="00C52BF0" w:rsidRDefault="00C52BF0" w:rsidP="00C52BF0">
      <w:pPr>
        <w:rPr>
          <w:rFonts w:ascii="Georgia" w:hAnsi="Georgia"/>
          <w:sz w:val="40"/>
          <w:szCs w:val="40"/>
        </w:rPr>
      </w:pPr>
      <w:r>
        <w:rPr>
          <w:rFonts w:ascii="Georgia" w:hAnsi="Georgia"/>
          <w:sz w:val="40"/>
          <w:szCs w:val="40"/>
        </w:rPr>
        <w:lastRenderedPageBreak/>
        <w:t>Cultura</w:t>
      </w:r>
      <w:r w:rsidR="00D34D3E">
        <w:rPr>
          <w:rFonts w:ascii="Georgia" w:hAnsi="Georgia"/>
          <w:sz w:val="40"/>
          <w:szCs w:val="40"/>
        </w:rPr>
        <w:t>-Turismo</w:t>
      </w:r>
    </w:p>
    <w:p w:rsidR="00C52BF0" w:rsidRDefault="00C52BF0" w:rsidP="00C52BF0">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2ª temporada del Gaztambide cerrada, pendiente de aprobar en comité.</w:t>
      </w:r>
    </w:p>
    <w:p w:rsidR="00C52BF0" w:rsidRDefault="00C52BF0" w:rsidP="00C52BF0">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Premios a la elaboración y/o producción de proyecto expositivo tan sólo pendiente de selección.</w:t>
      </w:r>
    </w:p>
    <w:p w:rsidR="00C52BF0" w:rsidRDefault="00C52BF0" w:rsidP="00C52BF0">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Residencia Atalak: ya en marcha.</w:t>
      </w:r>
    </w:p>
    <w:p w:rsidR="00C52BF0" w:rsidRDefault="00C52BF0" w:rsidP="00C52BF0">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III Certamen de Arte Efímero: Puesta en marcha su elaboración.</w:t>
      </w:r>
    </w:p>
    <w:p w:rsid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Turismo: pendiente cerrar Jornadas tomate feo, Jornadas de las tres culturas, Inverduras y adjudicar nueva imagen para guía ilustrada.</w:t>
      </w:r>
    </w:p>
    <w:p w:rsidR="00D34D3E" w:rsidRPr="00C52BF0" w:rsidRDefault="00D34D3E" w:rsidP="00D34D3E">
      <w:pPr>
        <w:pStyle w:val="Prrafodelista"/>
        <w:spacing w:before="240" w:line="240" w:lineRule="auto"/>
        <w:ind w:left="0"/>
        <w:contextualSpacing w:val="0"/>
        <w:rPr>
          <w:rFonts w:ascii="Verdana" w:hAnsi="Verdana"/>
          <w:sz w:val="20"/>
          <w:szCs w:val="20"/>
        </w:rPr>
      </w:pPr>
    </w:p>
    <w:p w:rsidR="00D34D3E" w:rsidRDefault="00D34D3E" w:rsidP="002C68E9">
      <w:pPr>
        <w:rPr>
          <w:rFonts w:ascii="Georgia" w:hAnsi="Georgia"/>
          <w:sz w:val="40"/>
          <w:szCs w:val="40"/>
        </w:rPr>
      </w:pPr>
      <w:r>
        <w:rPr>
          <w:rFonts w:ascii="Georgia" w:hAnsi="Georgia"/>
          <w:sz w:val="40"/>
          <w:szCs w:val="40"/>
        </w:rPr>
        <w:t>Área de Agricultura, Montes Medio Ambiente y Serv. Contratados</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A-68: primera fase acabada, falta hacer hoja de aprecio. Segunda fase, aprobado proyecto, hay que iniciar las obras (GN) y nosotros iniciar expropiación.</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Huertos Sociales: hay 13 en lista de espera</w:t>
      </w:r>
      <w:r>
        <w:rPr>
          <w:rFonts w:ascii="Verdana" w:hAnsi="Verdana"/>
          <w:sz w:val="20"/>
          <w:szCs w:val="20"/>
        </w:rPr>
        <w:t>.</w:t>
      </w:r>
    </w:p>
    <w:p w:rsid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Escuela de Sostenibilidad M</w:t>
      </w:r>
      <w:r>
        <w:rPr>
          <w:rFonts w:ascii="Verdana" w:hAnsi="Verdana"/>
          <w:sz w:val="20"/>
          <w:szCs w:val="20"/>
        </w:rPr>
        <w:t>unicipal: acaba el 14 de junio.</w:t>
      </w:r>
    </w:p>
    <w:p w:rsidR="00D34D3E" w:rsidRPr="00E22427"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E22427">
        <w:rPr>
          <w:rFonts w:ascii="Verdana" w:hAnsi="Verdana"/>
          <w:sz w:val="20"/>
          <w:szCs w:val="20"/>
        </w:rPr>
        <w:t xml:space="preserve">Renovables en </w:t>
      </w:r>
      <w:r w:rsidR="00A703F3" w:rsidRPr="00E22427">
        <w:rPr>
          <w:rFonts w:ascii="Verdana" w:hAnsi="Verdana"/>
          <w:sz w:val="20"/>
          <w:szCs w:val="20"/>
        </w:rPr>
        <w:t xml:space="preserve">Valdetellas: </w:t>
      </w:r>
      <w:bookmarkStart w:id="0" w:name="_GoBack"/>
      <w:r w:rsidR="00E22427">
        <w:rPr>
          <w:rFonts w:ascii="Verdana" w:hAnsi="Verdana"/>
          <w:sz w:val="20"/>
          <w:szCs w:val="20"/>
        </w:rPr>
        <w:t>Proyecto ya redactado para el que habrá de encontrarse financiación para su puesta en marcha.</w:t>
      </w:r>
    </w:p>
    <w:bookmarkEnd w:id="0"/>
    <w:p w:rsidR="00D34D3E" w:rsidRPr="00A703F3"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A703F3">
        <w:rPr>
          <w:rFonts w:ascii="Verdana" w:hAnsi="Verdana"/>
          <w:sz w:val="20"/>
          <w:szCs w:val="20"/>
        </w:rPr>
        <w:t xml:space="preserve">Proyecto CES: </w:t>
      </w:r>
      <w:r w:rsidR="00A703F3" w:rsidRPr="00A703F3">
        <w:rPr>
          <w:rFonts w:ascii="Verdana" w:hAnsi="Verdana"/>
          <w:sz w:val="20"/>
          <w:szCs w:val="20"/>
        </w:rPr>
        <w:t>convenio recientemente firmados que implican gastar</w:t>
      </w:r>
      <w:r w:rsidRPr="00A703F3">
        <w:rPr>
          <w:rFonts w:ascii="Verdana" w:hAnsi="Verdana"/>
          <w:sz w:val="20"/>
          <w:szCs w:val="20"/>
        </w:rPr>
        <w:t xml:space="preserve"> 6</w:t>
      </w:r>
      <w:r w:rsidR="00A703F3" w:rsidRPr="00A703F3">
        <w:rPr>
          <w:rFonts w:ascii="Verdana" w:hAnsi="Verdana"/>
          <w:sz w:val="20"/>
          <w:szCs w:val="20"/>
        </w:rPr>
        <w:t>.</w:t>
      </w:r>
      <w:r w:rsidRPr="00A703F3">
        <w:rPr>
          <w:rFonts w:ascii="Verdana" w:hAnsi="Verdana"/>
          <w:sz w:val="20"/>
          <w:szCs w:val="20"/>
        </w:rPr>
        <w:t>000€ que hay para esterilización, desparasitación y colocación de microchip.</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Caminos rurales: de 8</w:t>
      </w:r>
      <w:r>
        <w:rPr>
          <w:rFonts w:ascii="Verdana" w:hAnsi="Verdana"/>
          <w:sz w:val="20"/>
          <w:szCs w:val="20"/>
        </w:rPr>
        <w:t>.</w:t>
      </w:r>
      <w:r w:rsidRPr="00D34D3E">
        <w:rPr>
          <w:rFonts w:ascii="Verdana" w:hAnsi="Verdana"/>
          <w:sz w:val="20"/>
          <w:szCs w:val="20"/>
        </w:rPr>
        <w:t>000€ en 2015 hemos pasado a 40</w:t>
      </w:r>
      <w:r>
        <w:rPr>
          <w:rFonts w:ascii="Verdana" w:hAnsi="Verdana"/>
          <w:sz w:val="20"/>
          <w:szCs w:val="20"/>
        </w:rPr>
        <w:t>.</w:t>
      </w:r>
      <w:r w:rsidRPr="00D34D3E">
        <w:rPr>
          <w:rFonts w:ascii="Verdana" w:hAnsi="Verdana"/>
          <w:sz w:val="20"/>
          <w:szCs w:val="20"/>
        </w:rPr>
        <w:t>000 en 2019. Que sigan en esa línea o que compren motoniveladora (con los 200.000 casi anuales que se van a ingresar por la fotovoltaica).</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Seguir con la gestión pública del coto de caza.</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Courage: planteado para el 20 de agosto. Retirada de la vegetación de la isla del Ebro, tras el puente y se airean las gravas, para q</w:t>
      </w:r>
      <w:r w:rsidR="00A703F3">
        <w:rPr>
          <w:rFonts w:ascii="Verdana" w:hAnsi="Verdana"/>
          <w:sz w:val="20"/>
          <w:szCs w:val="20"/>
        </w:rPr>
        <w:t>ue se puedan mover. Lo hace GN.</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Seguimiento con los técnicos de GN y CHE de la descontaminación de suelos de la Ebroquímica (Rohm&amp;Haas).</w:t>
      </w:r>
    </w:p>
    <w:p w:rsidR="00D34D3E" w:rsidRP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Subasta de terrenos para paneles fotovoltaicos. La base del sexteo parte de 1.528 €, así que será más seguro. Las hectáreas mínimas es de 122 y el máximo 343. Dependerá de lo que finalmente deje GN. Probablemente los datos sean unos 1.700 € y unas 200 ha, pero esto son suposiciones. El miércoles se abre el sobre 3. Eso supondrá unos 180.000 € anuales.</w:t>
      </w:r>
    </w:p>
    <w:p w:rsidR="00D34D3E" w:rsidRDefault="00D34D3E" w:rsidP="00D34D3E">
      <w:pPr>
        <w:pStyle w:val="Prrafodelista"/>
        <w:numPr>
          <w:ilvl w:val="0"/>
          <w:numId w:val="1"/>
        </w:numPr>
        <w:spacing w:before="240" w:line="240" w:lineRule="auto"/>
        <w:ind w:left="0" w:hanging="357"/>
        <w:contextualSpacing w:val="0"/>
        <w:rPr>
          <w:rFonts w:ascii="Verdana" w:hAnsi="Verdana"/>
          <w:sz w:val="20"/>
          <w:szCs w:val="20"/>
        </w:rPr>
      </w:pPr>
      <w:r w:rsidRPr="00D34D3E">
        <w:rPr>
          <w:rFonts w:ascii="Verdana" w:hAnsi="Verdana"/>
          <w:sz w:val="20"/>
          <w:szCs w:val="20"/>
        </w:rPr>
        <w:t>Línea eléctrica Cabanillas. Acuerdo para ingresar unos 139.000 €.</w:t>
      </w:r>
    </w:p>
    <w:p w:rsidR="007469A0" w:rsidRPr="00A703F3" w:rsidRDefault="007469A0" w:rsidP="00A703F3">
      <w:pPr>
        <w:pStyle w:val="Prrafodelista"/>
        <w:numPr>
          <w:ilvl w:val="0"/>
          <w:numId w:val="1"/>
        </w:numPr>
        <w:spacing w:before="240" w:line="240" w:lineRule="auto"/>
        <w:ind w:left="0" w:hanging="357"/>
        <w:contextualSpacing w:val="0"/>
        <w:rPr>
          <w:rFonts w:ascii="Verdana" w:hAnsi="Verdana"/>
          <w:sz w:val="20"/>
          <w:szCs w:val="20"/>
        </w:rPr>
        <w:sectPr w:rsidR="007469A0" w:rsidRPr="00A703F3" w:rsidSect="00A703F3">
          <w:footerReference w:type="default" r:id="rId7"/>
          <w:pgSz w:w="11906" w:h="16838"/>
          <w:pgMar w:top="1417" w:right="1701" w:bottom="567" w:left="1701" w:header="708" w:footer="708" w:gutter="0"/>
          <w:cols w:space="708"/>
          <w:docGrid w:linePitch="360"/>
        </w:sectPr>
      </w:pPr>
      <w:r w:rsidRPr="007469A0">
        <w:rPr>
          <w:rFonts w:ascii="Verdana" w:hAnsi="Verdana"/>
          <w:sz w:val="20"/>
          <w:szCs w:val="20"/>
        </w:rPr>
        <w:t>Servicios Contratados: todas las contratas en vigor o en proceso de licitación con la excepción de Transporte y Alumbrado público. (ver anexo).</w:t>
      </w:r>
      <w:r w:rsidR="00A703F3" w:rsidRPr="00A703F3">
        <w:rPr>
          <w:rFonts w:ascii="Verdana" w:hAnsi="Verdana"/>
          <w:sz w:val="20"/>
          <w:szCs w:val="20"/>
        </w:rPr>
        <w:t>Igua</w:t>
      </w:r>
      <w:r w:rsidR="00A703F3">
        <w:rPr>
          <w:rFonts w:ascii="Verdana" w:hAnsi="Verdana"/>
          <w:sz w:val="20"/>
          <w:szCs w:val="20"/>
        </w:rPr>
        <w:t>lmente la licitación del Parking de la Constitución está en intervención para inmediata licitación.</w:t>
      </w:r>
    </w:p>
    <w:tbl>
      <w:tblPr>
        <w:tblW w:w="15041" w:type="dxa"/>
        <w:tblInd w:w="55" w:type="dxa"/>
        <w:tblCellMar>
          <w:left w:w="70" w:type="dxa"/>
          <w:right w:w="70" w:type="dxa"/>
        </w:tblCellMar>
        <w:tblLook w:val="04A0"/>
      </w:tblPr>
      <w:tblGrid>
        <w:gridCol w:w="2567"/>
        <w:gridCol w:w="2268"/>
        <w:gridCol w:w="1314"/>
        <w:gridCol w:w="1985"/>
        <w:gridCol w:w="1003"/>
        <w:gridCol w:w="1134"/>
        <w:gridCol w:w="1559"/>
        <w:gridCol w:w="1180"/>
        <w:gridCol w:w="941"/>
        <w:gridCol w:w="206"/>
        <w:gridCol w:w="1064"/>
      </w:tblGrid>
      <w:tr w:rsidR="007469A0" w:rsidRPr="007469A0" w:rsidTr="00B512C5">
        <w:trPr>
          <w:trHeight w:val="450"/>
        </w:trPr>
        <w:tc>
          <w:tcPr>
            <w:tcW w:w="2567"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lastRenderedPageBreak/>
              <w:t>CONTRATA</w:t>
            </w:r>
          </w:p>
        </w:tc>
        <w:tc>
          <w:tcPr>
            <w:tcW w:w="2268" w:type="dxa"/>
            <w:tcBorders>
              <w:top w:val="single" w:sz="8" w:space="0" w:color="000000"/>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ADJUDICATARIO</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FACTURACIÓN</w:t>
            </w:r>
          </w:p>
        </w:tc>
        <w:tc>
          <w:tcPr>
            <w:tcW w:w="1985" w:type="dxa"/>
            <w:tcBorders>
              <w:top w:val="single" w:sz="8" w:space="0" w:color="000000"/>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IMPORTE ADJUDICACIÓN</w:t>
            </w:r>
          </w:p>
        </w:tc>
        <w:tc>
          <w:tcPr>
            <w:tcW w:w="1003" w:type="dxa"/>
            <w:tcBorders>
              <w:top w:val="single" w:sz="8" w:space="0" w:color="000000"/>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DURACION</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F. INICIO</w:t>
            </w:r>
          </w:p>
        </w:tc>
        <w:tc>
          <w:tcPr>
            <w:tcW w:w="1559" w:type="dxa"/>
            <w:tcBorders>
              <w:top w:val="single" w:sz="8" w:space="0" w:color="000000"/>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F. FINALIZACIÓN</w:t>
            </w:r>
          </w:p>
        </w:tc>
        <w:tc>
          <w:tcPr>
            <w:tcW w:w="1180" w:type="dxa"/>
            <w:tcBorders>
              <w:top w:val="single" w:sz="8" w:space="0" w:color="000000"/>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PRÓRROGA</w:t>
            </w:r>
          </w:p>
        </w:tc>
        <w:tc>
          <w:tcPr>
            <w:tcW w:w="1147" w:type="dxa"/>
            <w:gridSpan w:val="2"/>
            <w:tcBorders>
              <w:top w:val="nil"/>
              <w:left w:val="nil"/>
              <w:bottom w:val="nil"/>
              <w:right w:val="nil"/>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TÉRMINO MÁXIMO</w:t>
            </w:r>
          </w:p>
        </w:tc>
        <w:tc>
          <w:tcPr>
            <w:tcW w:w="1064" w:type="dxa"/>
            <w:tcBorders>
              <w:top w:val="nil"/>
              <w:left w:val="nil"/>
              <w:bottom w:val="nil"/>
              <w:right w:val="nil"/>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b/>
                <w:bCs/>
                <w:sz w:val="16"/>
                <w:szCs w:val="16"/>
              </w:rPr>
            </w:pPr>
            <w:r w:rsidRPr="007469A0">
              <w:rPr>
                <w:rFonts w:ascii="Arial" w:eastAsia="Times New Roman" w:hAnsi="Arial" w:cs="Arial"/>
                <w:b/>
                <w:bCs/>
                <w:sz w:val="16"/>
                <w:szCs w:val="16"/>
              </w:rPr>
              <w:t>ESTADO ACTUAL</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MANTTO. ALUMBRADO PÚBLICO</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GIMA S.L.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130.900,00 €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18/07/2011</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17/07/2013</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 anuales</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17/07/2015</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CADUCADO</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MANTTO SEMÁFOROS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GIMA S.L.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1.200,00 €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18/07/2011</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17/07/2013</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17/07/2015</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CADUCADO</w:t>
            </w:r>
          </w:p>
        </w:tc>
      </w:tr>
      <w:tr w:rsidR="00B512C5" w:rsidRPr="007469A0" w:rsidTr="00B512C5">
        <w:trPr>
          <w:trHeight w:val="450"/>
        </w:trPr>
        <w:tc>
          <w:tcPr>
            <w:tcW w:w="2567" w:type="dxa"/>
            <w:tcBorders>
              <w:top w:val="nil"/>
              <w:left w:val="single" w:sz="8" w:space="0" w:color="000000"/>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REPARTO DE NOTIFICACIONES Y ENVÍOS</w:t>
            </w:r>
          </w:p>
        </w:tc>
        <w:tc>
          <w:tcPr>
            <w:tcW w:w="2268"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AMIMET</w:t>
            </w:r>
          </w:p>
        </w:tc>
        <w:tc>
          <w:tcPr>
            <w:tcW w:w="1134"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Envío ordinario: 0,162 €</w:t>
            </w:r>
          </w:p>
        </w:tc>
        <w:tc>
          <w:tcPr>
            <w:tcW w:w="1003"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w:t>
            </w:r>
          </w:p>
        </w:tc>
        <w:tc>
          <w:tcPr>
            <w:tcW w:w="1134"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01/02/2019</w:t>
            </w:r>
          </w:p>
        </w:tc>
        <w:tc>
          <w:tcPr>
            <w:tcW w:w="1559"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31/01/2022</w:t>
            </w:r>
          </w:p>
        </w:tc>
        <w:tc>
          <w:tcPr>
            <w:tcW w:w="1180" w:type="dxa"/>
            <w:tcBorders>
              <w:top w:val="nil"/>
              <w:left w:val="nil"/>
              <w:bottom w:val="nil"/>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225"/>
        </w:trPr>
        <w:tc>
          <w:tcPr>
            <w:tcW w:w="2567" w:type="dxa"/>
            <w:tcBorders>
              <w:top w:val="nil"/>
              <w:left w:val="single" w:sz="8" w:space="0" w:color="000000"/>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2268"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985"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Envío urgente: 1,39 €</w:t>
            </w:r>
          </w:p>
        </w:tc>
        <w:tc>
          <w:tcPr>
            <w:tcW w:w="1003"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559" w:type="dxa"/>
            <w:tcBorders>
              <w:top w:val="nil"/>
              <w:left w:val="nil"/>
              <w:bottom w:val="nil"/>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80" w:type="dxa"/>
            <w:tcBorders>
              <w:top w:val="nil"/>
              <w:left w:val="nil"/>
              <w:bottom w:val="nil"/>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Notif. Acuse rec. 1,69 €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TRANSPORTE URBANO</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AUTOMÓVILES RÍO ALHAMA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353.629,61 €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01/01/2002</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31/12/2011</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CADUCADO</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MANTTO. ELEMENTOS DE SEGURIDAD</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SERCOIN NAVARRA S.L.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Trimestral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8.875,52 €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01/07/2016</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30/06/2017</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01/07/2019</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LIMPIEZA DE EDIFICIOS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DISTRIVISUAL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911.000,00 €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2+1</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01/03/2018</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28/02/2020</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 anual</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28/02/2021</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MANTTO. PARQUES Y JARDINES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ACCIONA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844.183,98 €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5</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01/07/2019</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30/06/2024</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ESTACIONAMIENTO DE PERMANENCIA LIMITADA</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DORNIER S.A.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136.135,18 €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01/08/2010</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31/07/2016</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 anual</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LICITACION</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SERVICIO DE RETIRADA DE VEHÍCULOS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DORNIER S.A.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95.090,00 €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01/05/2019</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30/04/2022</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LIMPIEZA URBANA</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CESPA – FERROVIAL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1.448.972,73 €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01/06/2005</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31/05/2012</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LICITACION</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MANTTO. AIRE ACONDICIONADO Y CALEFACCIÓN</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GIMA S.L.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21.000,00 €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01/06/2012</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31/05/2013</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LICITACION</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MEDIACIÓN DE SEGUROS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A.O.N. GIL Y CARVAJAL S.A.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xml:space="preserve">- </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19/04/2012</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18/04/2013</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CADUCADO</w:t>
            </w:r>
          </w:p>
        </w:tc>
      </w:tr>
      <w:tr w:rsidR="00B512C5" w:rsidRPr="007469A0" w:rsidTr="00B512C5">
        <w:trPr>
          <w:trHeight w:val="67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PÓLIZAS DE SEGUROS R.C., PATRIMONIO Y VEHICULOS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MAPFRE ESPAÑA CIA DE SEGUROS Y REASEGUROS S.A.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Anual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215.428,29 €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01/12/2016</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30/11/2017</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30/11/2020</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67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PÓLIZAS DE SEGUROS VIDA Y ACCIDENTES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AXA AURORA VIDA DE SEGUROS Y REASEGUROS S.A.</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Anual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24.000,00 €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01/12/2016</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30/11/2017</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30/11/2020</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DESRATIZACIÓN Y DESINSECTACIÓN</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GRUPO RUBIO S.L.</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21.000,00 €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01/06/2018</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30/05/2021</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 anual</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30/05/2022</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22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CONTROL DE PALOMAS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ADDA OPS</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8.900,00 €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01/07/2018</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30/06/2021</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 anual</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30/06/2022</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675"/>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CONTROL ESTORNINOS</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ADDA OPS</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mensual de octubre – marzo</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3.900,00 €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01/07/2018</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30/06/2021</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 anual</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30/06/2022</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CURSO</w:t>
            </w:r>
          </w:p>
        </w:tc>
      </w:tr>
      <w:tr w:rsidR="00B512C5" w:rsidRPr="007469A0" w:rsidTr="00B512C5">
        <w:trPr>
          <w:trHeight w:val="450"/>
        </w:trPr>
        <w:tc>
          <w:tcPr>
            <w:tcW w:w="2567" w:type="dxa"/>
            <w:tcBorders>
              <w:top w:val="nil"/>
              <w:left w:val="single" w:sz="8"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SUMINISTRO DE ENERGÍA ELÉCTRICA (BAJA TENSIÓN)</w:t>
            </w:r>
          </w:p>
        </w:tc>
        <w:tc>
          <w:tcPr>
            <w:tcW w:w="2268"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ENDESA ENERGÍA S.A.U.</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611.516,83 €</w:t>
            </w:r>
          </w:p>
        </w:tc>
        <w:tc>
          <w:tcPr>
            <w:tcW w:w="1003"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01/06/2012</w:t>
            </w:r>
          </w:p>
        </w:tc>
        <w:tc>
          <w:tcPr>
            <w:tcW w:w="1559" w:type="dxa"/>
            <w:tcBorders>
              <w:top w:val="nil"/>
              <w:left w:val="nil"/>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31/05/2013</w:t>
            </w:r>
          </w:p>
        </w:tc>
        <w:tc>
          <w:tcPr>
            <w:tcW w:w="1180" w:type="dxa"/>
            <w:tcBorders>
              <w:top w:val="nil"/>
              <w:left w:val="nil"/>
              <w:bottom w:val="single" w:sz="4"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1 anual</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31/05/2014</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CADUCADO</w:t>
            </w:r>
          </w:p>
        </w:tc>
      </w:tr>
      <w:tr w:rsidR="00B512C5" w:rsidRPr="007469A0" w:rsidTr="00B512C5">
        <w:trPr>
          <w:trHeight w:val="450"/>
        </w:trPr>
        <w:tc>
          <w:tcPr>
            <w:tcW w:w="2567" w:type="dxa"/>
            <w:tcBorders>
              <w:top w:val="nil"/>
              <w:left w:val="single" w:sz="8" w:space="0" w:color="000000"/>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SUMINISTRO DE ENERGÍA ELÉCTRICA (ALTA TENSIÓN)</w:t>
            </w:r>
          </w:p>
        </w:tc>
        <w:tc>
          <w:tcPr>
            <w:tcW w:w="2268" w:type="dxa"/>
            <w:tcBorders>
              <w:top w:val="nil"/>
              <w:left w:val="nil"/>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HIDROCANTÁBRICO ENERGÍA S.A.U.</w:t>
            </w:r>
          </w:p>
        </w:tc>
        <w:tc>
          <w:tcPr>
            <w:tcW w:w="1134" w:type="dxa"/>
            <w:tcBorders>
              <w:top w:val="nil"/>
              <w:left w:val="nil"/>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985" w:type="dxa"/>
            <w:tcBorders>
              <w:top w:val="nil"/>
              <w:left w:val="nil"/>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437.893,64 €</w:t>
            </w:r>
          </w:p>
        </w:tc>
        <w:tc>
          <w:tcPr>
            <w:tcW w:w="1003" w:type="dxa"/>
            <w:tcBorders>
              <w:top w:val="nil"/>
              <w:left w:val="nil"/>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2+2</w:t>
            </w:r>
          </w:p>
        </w:tc>
        <w:tc>
          <w:tcPr>
            <w:tcW w:w="1134" w:type="dxa"/>
            <w:tcBorders>
              <w:top w:val="nil"/>
              <w:left w:val="nil"/>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09/01/2014</w:t>
            </w:r>
          </w:p>
        </w:tc>
        <w:tc>
          <w:tcPr>
            <w:tcW w:w="1559" w:type="dxa"/>
            <w:tcBorders>
              <w:top w:val="nil"/>
              <w:left w:val="nil"/>
              <w:bottom w:val="single" w:sz="8"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09/01/2015</w:t>
            </w:r>
          </w:p>
        </w:tc>
        <w:tc>
          <w:tcPr>
            <w:tcW w:w="1180" w:type="dxa"/>
            <w:tcBorders>
              <w:top w:val="nil"/>
              <w:left w:val="nil"/>
              <w:bottom w:val="single" w:sz="8" w:space="0" w:color="000000"/>
              <w:right w:val="single" w:sz="8"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2 anuales</w:t>
            </w:r>
          </w:p>
        </w:tc>
        <w:tc>
          <w:tcPr>
            <w:tcW w:w="941" w:type="dxa"/>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 </w:t>
            </w:r>
          </w:p>
        </w:tc>
        <w:tc>
          <w:tcPr>
            <w:tcW w:w="127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69A0" w:rsidRPr="007469A0" w:rsidRDefault="007469A0" w:rsidP="007469A0">
            <w:pPr>
              <w:spacing w:after="0" w:line="240" w:lineRule="auto"/>
              <w:jc w:val="both"/>
              <w:rPr>
                <w:rFonts w:ascii="Arial" w:eastAsia="Times New Roman" w:hAnsi="Arial" w:cs="Arial"/>
                <w:sz w:val="16"/>
                <w:szCs w:val="16"/>
              </w:rPr>
            </w:pPr>
            <w:r w:rsidRPr="007469A0">
              <w:rPr>
                <w:rFonts w:ascii="Arial" w:eastAsia="Times New Roman" w:hAnsi="Arial" w:cs="Arial"/>
                <w:sz w:val="16"/>
                <w:szCs w:val="16"/>
              </w:rPr>
              <w:t>EN LICITACION</w:t>
            </w:r>
          </w:p>
        </w:tc>
      </w:tr>
    </w:tbl>
    <w:p w:rsidR="007469A0" w:rsidRDefault="007469A0" w:rsidP="002C68E9">
      <w:pPr>
        <w:rPr>
          <w:rFonts w:ascii="Georgia" w:hAnsi="Georgia"/>
          <w:sz w:val="40"/>
          <w:szCs w:val="40"/>
        </w:rPr>
        <w:sectPr w:rsidR="007469A0" w:rsidSect="00B512C5">
          <w:pgSz w:w="16838" w:h="11906" w:orient="landscape"/>
          <w:pgMar w:top="851" w:right="1417" w:bottom="1276" w:left="993" w:header="708" w:footer="708" w:gutter="0"/>
          <w:cols w:space="708"/>
          <w:docGrid w:linePitch="360"/>
        </w:sectPr>
      </w:pPr>
    </w:p>
    <w:p w:rsidR="002C68E9" w:rsidRDefault="002C68E9" w:rsidP="002C68E9">
      <w:pPr>
        <w:rPr>
          <w:rFonts w:ascii="Georgia" w:hAnsi="Georgia"/>
          <w:sz w:val="40"/>
          <w:szCs w:val="40"/>
        </w:rPr>
      </w:pPr>
      <w:r>
        <w:rPr>
          <w:rFonts w:ascii="Georgia" w:hAnsi="Georgia"/>
          <w:sz w:val="40"/>
          <w:szCs w:val="40"/>
        </w:rPr>
        <w:lastRenderedPageBreak/>
        <w:t>Área de Promoción</w:t>
      </w:r>
    </w:p>
    <w:p w:rsidR="002C68E9" w:rsidRDefault="002C68E9" w:rsidP="007A48EE">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 xml:space="preserve">Comercio: pendiente cerrar gran feria de octubre y campaña de Navidad, concurso escaparates </w:t>
      </w:r>
      <w:r w:rsidRPr="007A48EE">
        <w:rPr>
          <w:rFonts w:ascii="Verdana" w:hAnsi="Verdana"/>
          <w:sz w:val="20"/>
          <w:szCs w:val="20"/>
        </w:rPr>
        <w:t>Ópera Prima</w:t>
      </w:r>
      <w:r>
        <w:rPr>
          <w:rFonts w:ascii="Verdana" w:hAnsi="Verdana"/>
          <w:sz w:val="20"/>
          <w:szCs w:val="20"/>
        </w:rPr>
        <w:t>, Cambio motores cámaras frigoríficas del mercado por 12.000 € (financiados al 60% por GN).</w:t>
      </w:r>
    </w:p>
    <w:p w:rsidR="007469A0" w:rsidRPr="007469A0" w:rsidRDefault="007469A0" w:rsidP="007469A0">
      <w:pPr>
        <w:pStyle w:val="Prrafodelista"/>
        <w:numPr>
          <w:ilvl w:val="0"/>
          <w:numId w:val="1"/>
        </w:numPr>
        <w:spacing w:before="240" w:line="240" w:lineRule="auto"/>
        <w:ind w:left="0" w:hanging="357"/>
        <w:contextualSpacing w:val="0"/>
        <w:rPr>
          <w:rFonts w:ascii="Verdana" w:hAnsi="Verdana"/>
          <w:sz w:val="20"/>
          <w:szCs w:val="20"/>
        </w:rPr>
      </w:pPr>
      <w:r w:rsidRPr="007469A0">
        <w:rPr>
          <w:rFonts w:ascii="Verdana" w:hAnsi="Verdana"/>
          <w:sz w:val="20"/>
          <w:szCs w:val="20"/>
        </w:rPr>
        <w:t>Mercado:</w:t>
      </w:r>
      <w:r>
        <w:rPr>
          <w:rFonts w:ascii="Verdana" w:hAnsi="Verdana"/>
          <w:sz w:val="20"/>
          <w:szCs w:val="20"/>
        </w:rPr>
        <w:t xml:space="preserve"> </w:t>
      </w:r>
      <w:r w:rsidRPr="007469A0">
        <w:rPr>
          <w:rFonts w:ascii="Verdana" w:hAnsi="Verdana"/>
          <w:sz w:val="20"/>
          <w:szCs w:val="20"/>
        </w:rPr>
        <w:t>Obras empiezan a finales de junio, hay unos tres meses para acabarlas. Presupuesto 113.871,89 € (IVA incluido). 50% subvencionado FEDER</w:t>
      </w:r>
    </w:p>
    <w:p w:rsidR="007469A0" w:rsidRDefault="007469A0" w:rsidP="007A48EE">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Pendiente aplicación de la nueva imagen corporativa a todas las herramientas de promoción municipal.</w:t>
      </w:r>
    </w:p>
    <w:p w:rsidR="000B4A37" w:rsidRDefault="000B4A37">
      <w:pPr>
        <w:rPr>
          <w:rFonts w:ascii="Verdana" w:hAnsi="Verdana"/>
          <w:sz w:val="20"/>
          <w:szCs w:val="20"/>
        </w:rPr>
      </w:pPr>
    </w:p>
    <w:p w:rsidR="00725012" w:rsidRDefault="00A703F3">
      <w:pPr>
        <w:rPr>
          <w:rFonts w:ascii="Georgia" w:hAnsi="Georgia"/>
          <w:sz w:val="40"/>
          <w:szCs w:val="40"/>
        </w:rPr>
      </w:pPr>
      <w:r>
        <w:rPr>
          <w:rFonts w:ascii="Georgia" w:hAnsi="Georgia"/>
          <w:sz w:val="40"/>
          <w:szCs w:val="40"/>
        </w:rPr>
        <w:t>Policía y Protección Civil</w:t>
      </w:r>
    </w:p>
    <w:p w:rsidR="00A703F3" w:rsidRDefault="00A703F3" w:rsidP="00A703F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Pendiente la puesta en marcha de las tres cámaras para la peatonalización ya adjudicadas.</w:t>
      </w:r>
    </w:p>
    <w:p w:rsidR="00A703F3" w:rsidRDefault="00A703F3" w:rsidP="00A703F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En el terreno de la plantilla, lanzadas las plazas y personal en cursos para cubrir necesidades inminentes, habrá de continuarse con nuevas OPE´s.</w:t>
      </w:r>
    </w:p>
    <w:p w:rsidR="00A703F3" w:rsidRPr="00A703F3" w:rsidRDefault="00A703F3" w:rsidP="00A703F3">
      <w:pPr>
        <w:pStyle w:val="Prrafodelista"/>
        <w:numPr>
          <w:ilvl w:val="0"/>
          <w:numId w:val="1"/>
        </w:numPr>
        <w:spacing w:before="240" w:line="240" w:lineRule="auto"/>
        <w:ind w:left="0" w:hanging="357"/>
        <w:contextualSpacing w:val="0"/>
        <w:rPr>
          <w:rFonts w:ascii="Verdana" w:hAnsi="Verdana"/>
          <w:sz w:val="20"/>
          <w:szCs w:val="20"/>
        </w:rPr>
      </w:pPr>
      <w:r>
        <w:rPr>
          <w:rFonts w:ascii="Verdana" w:hAnsi="Verdana"/>
          <w:sz w:val="20"/>
          <w:szCs w:val="20"/>
        </w:rPr>
        <w:t>En el ámbito de Protección civil hay que atender la problemática inmediata de las instalaciones (plagas de cucarachas provenientes del vecindario) y poner en marcha el protocolo de intenciones consensuado por el conjunto de la corporación.</w:t>
      </w:r>
    </w:p>
    <w:sectPr w:rsidR="00A703F3" w:rsidRPr="00A703F3" w:rsidSect="007469A0">
      <w:pgSz w:w="11906" w:h="16838"/>
      <w:pgMar w:top="1417"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2C5" w:rsidRDefault="00B512C5" w:rsidP="00B512C5">
      <w:pPr>
        <w:spacing w:after="0" w:line="240" w:lineRule="auto"/>
      </w:pPr>
      <w:r>
        <w:separator/>
      </w:r>
    </w:p>
  </w:endnote>
  <w:endnote w:type="continuationSeparator" w:id="0">
    <w:p w:rsidR="00B512C5" w:rsidRDefault="00B512C5" w:rsidP="00B5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2874"/>
      <w:docPartObj>
        <w:docPartGallery w:val="Page Numbers (Bottom of Page)"/>
        <w:docPartUnique/>
      </w:docPartObj>
    </w:sdtPr>
    <w:sdtContent>
      <w:p w:rsidR="00B512C5" w:rsidRDefault="00B512C5">
        <w:pPr>
          <w:pStyle w:val="Piedepgina"/>
          <w:jc w:val="right"/>
        </w:pPr>
        <w:fldSimple w:instr=" PAGE   \* MERGEFORMAT ">
          <w:r w:rsidR="00474841">
            <w:rPr>
              <w:noProof/>
            </w:rPr>
            <w:t>1</w:t>
          </w:r>
        </w:fldSimple>
      </w:p>
    </w:sdtContent>
  </w:sdt>
  <w:p w:rsidR="00B512C5" w:rsidRDefault="00B512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2C5" w:rsidRDefault="00B512C5" w:rsidP="00B512C5">
      <w:pPr>
        <w:spacing w:after="0" w:line="240" w:lineRule="auto"/>
      </w:pPr>
      <w:r>
        <w:separator/>
      </w:r>
    </w:p>
  </w:footnote>
  <w:footnote w:type="continuationSeparator" w:id="0">
    <w:p w:rsidR="00B512C5" w:rsidRDefault="00B512C5" w:rsidP="00B512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35DC7"/>
    <w:multiLevelType w:val="hybridMultilevel"/>
    <w:tmpl w:val="7DCA0E02"/>
    <w:lvl w:ilvl="0" w:tplc="73700560">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0439CA"/>
    <w:multiLevelType w:val="hybridMultilevel"/>
    <w:tmpl w:val="69CAC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34433"/>
    <w:rsid w:val="00071CD8"/>
    <w:rsid w:val="000B4A37"/>
    <w:rsid w:val="00124BC7"/>
    <w:rsid w:val="001567D0"/>
    <w:rsid w:val="001E42E2"/>
    <w:rsid w:val="00240591"/>
    <w:rsid w:val="002C68E9"/>
    <w:rsid w:val="003252FB"/>
    <w:rsid w:val="00474841"/>
    <w:rsid w:val="00493DBA"/>
    <w:rsid w:val="00534433"/>
    <w:rsid w:val="00572D3C"/>
    <w:rsid w:val="00576053"/>
    <w:rsid w:val="005E2D8B"/>
    <w:rsid w:val="006154D6"/>
    <w:rsid w:val="0063041B"/>
    <w:rsid w:val="007042F4"/>
    <w:rsid w:val="00725012"/>
    <w:rsid w:val="007469A0"/>
    <w:rsid w:val="007A48EE"/>
    <w:rsid w:val="007B24BA"/>
    <w:rsid w:val="007E55C9"/>
    <w:rsid w:val="00800F15"/>
    <w:rsid w:val="00875265"/>
    <w:rsid w:val="00902642"/>
    <w:rsid w:val="00A703F3"/>
    <w:rsid w:val="00B512C5"/>
    <w:rsid w:val="00C52BF0"/>
    <w:rsid w:val="00C7518E"/>
    <w:rsid w:val="00D34D3E"/>
    <w:rsid w:val="00D61AA3"/>
    <w:rsid w:val="00E1733C"/>
    <w:rsid w:val="00E22427"/>
    <w:rsid w:val="00FD0D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68E9"/>
    <w:pPr>
      <w:ind w:left="720"/>
      <w:contextualSpacing/>
    </w:pPr>
  </w:style>
  <w:style w:type="paragraph" w:styleId="Encabezado">
    <w:name w:val="header"/>
    <w:basedOn w:val="Normal"/>
    <w:link w:val="EncabezadoCar"/>
    <w:uiPriority w:val="99"/>
    <w:semiHidden/>
    <w:unhideWhenUsed/>
    <w:rsid w:val="00B512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512C5"/>
  </w:style>
  <w:style w:type="paragraph" w:styleId="Piedepgina">
    <w:name w:val="footer"/>
    <w:basedOn w:val="Normal"/>
    <w:link w:val="PiedepginaCar"/>
    <w:uiPriority w:val="99"/>
    <w:unhideWhenUsed/>
    <w:rsid w:val="00B512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1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68E9"/>
    <w:pPr>
      <w:ind w:left="720"/>
      <w:contextualSpacing/>
    </w:pPr>
  </w:style>
</w:styles>
</file>

<file path=word/webSettings.xml><?xml version="1.0" encoding="utf-8"?>
<w:webSettings xmlns:r="http://schemas.openxmlformats.org/officeDocument/2006/relationships" xmlns:w="http://schemas.openxmlformats.org/wordprocessingml/2006/main">
  <w:divs>
    <w:div w:id="231736835">
      <w:bodyDiv w:val="1"/>
      <w:marLeft w:val="0"/>
      <w:marRight w:val="0"/>
      <w:marTop w:val="0"/>
      <w:marBottom w:val="0"/>
      <w:divBdr>
        <w:top w:val="none" w:sz="0" w:space="0" w:color="auto"/>
        <w:left w:val="none" w:sz="0" w:space="0" w:color="auto"/>
        <w:bottom w:val="none" w:sz="0" w:space="0" w:color="auto"/>
        <w:right w:val="none" w:sz="0" w:space="0" w:color="auto"/>
      </w:divBdr>
    </w:div>
    <w:div w:id="879511432">
      <w:bodyDiv w:val="1"/>
      <w:marLeft w:val="0"/>
      <w:marRight w:val="0"/>
      <w:marTop w:val="0"/>
      <w:marBottom w:val="0"/>
      <w:divBdr>
        <w:top w:val="none" w:sz="0" w:space="0" w:color="auto"/>
        <w:left w:val="none" w:sz="0" w:space="0" w:color="auto"/>
        <w:bottom w:val="none" w:sz="0" w:space="0" w:color="auto"/>
        <w:right w:val="none" w:sz="0" w:space="0" w:color="auto"/>
      </w:divBdr>
    </w:div>
    <w:div w:id="14719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2129</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eneko.larrarte</dc:creator>
  <cp:lastModifiedBy>eneko.larrarte</cp:lastModifiedBy>
  <cp:revision>2</cp:revision>
  <cp:lastPrinted>2019-06-11T07:37:00Z</cp:lastPrinted>
  <dcterms:created xsi:type="dcterms:W3CDTF">2019-06-11T09:38:00Z</dcterms:created>
  <dcterms:modified xsi:type="dcterms:W3CDTF">2019-06-11T09:38:00Z</dcterms:modified>
</cp:coreProperties>
</file>